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ind w:firstLine="240" w:firstLineChars="100"/>
        <w:rPr>
          <w:rFonts w:asciiTheme="minorEastAsia" w:hAnsiTheme="minorEastAsia"/>
          <w:bCs/>
          <w:sz w:val="24"/>
          <w:szCs w:val="24"/>
        </w:rPr>
      </w:pPr>
      <w:r>
        <w:rPr>
          <w:rFonts w:hint="eastAsia" w:asciiTheme="minorEastAsia" w:hAnsiTheme="minorEastAsia"/>
          <w:bCs/>
          <w:sz w:val="24"/>
          <w:szCs w:val="24"/>
        </w:rPr>
        <w:t>证券代码：</w:t>
      </w:r>
      <w:sdt>
        <w:sdtPr>
          <w:rPr>
            <w:rFonts w:hint="eastAsia" w:asciiTheme="minorEastAsia" w:hAnsiTheme="minorEastAsia"/>
            <w:bCs/>
            <w:sz w:val="24"/>
            <w:szCs w:val="24"/>
          </w:rPr>
          <w:alias w:val="公司代码"/>
          <w:tag w:val="_GBC_62ef04c8e14e4c76b304f7775b7d8722"/>
          <w:id w:val="147460725"/>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603858</w:t>
          </w:r>
        </w:sdtContent>
      </w:sdt>
      <w:r>
        <w:rPr>
          <w:rFonts w:hint="eastAsia" w:asciiTheme="minorEastAsia" w:hAnsiTheme="minorEastAsia"/>
          <w:bCs/>
          <w:sz w:val="24"/>
          <w:szCs w:val="24"/>
        </w:rPr>
        <w:t xml:space="preserve">   </w:t>
      </w:r>
      <w:r>
        <w:rPr>
          <w:rFonts w:hint="eastAsia" w:asciiTheme="minorEastAsia" w:hAnsiTheme="minorEastAsia"/>
          <w:bCs/>
          <w:sz w:val="24"/>
          <w:szCs w:val="24"/>
          <w:lang w:val="en-US" w:eastAsia="zh-CN"/>
        </w:rPr>
        <w:t xml:space="preserve"> </w:t>
      </w:r>
      <w:r>
        <w:rPr>
          <w:rFonts w:asciiTheme="minorEastAsia" w:hAnsiTheme="minorEastAsia"/>
          <w:bCs/>
          <w:sz w:val="24"/>
          <w:szCs w:val="24"/>
        </w:rPr>
        <w:t xml:space="preserve">  </w:t>
      </w:r>
      <w:r>
        <w:rPr>
          <w:rFonts w:hint="eastAsia" w:asciiTheme="minorEastAsia" w:hAnsiTheme="minorEastAsia"/>
          <w:bCs/>
          <w:sz w:val="24"/>
          <w:szCs w:val="24"/>
        </w:rPr>
        <w:t>证券简称：</w:t>
      </w:r>
      <w:sdt>
        <w:sdtPr>
          <w:rPr>
            <w:rFonts w:hint="eastAsia" w:asciiTheme="minorEastAsia" w:hAnsiTheme="minorEastAsia"/>
            <w:bCs/>
            <w:sz w:val="24"/>
            <w:szCs w:val="24"/>
          </w:rPr>
          <w:alias w:val="公司简称"/>
          <w:tag w:val="_GBC_81c31f6c68a741c1acb30ff1595bc381"/>
          <w:id w:val="147462842"/>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步长制药</w:t>
          </w:r>
        </w:sdtContent>
      </w:sdt>
      <w:r>
        <w:rPr>
          <w:rFonts w:hint="eastAsia" w:asciiTheme="minorEastAsia" w:hAnsiTheme="minorEastAsia"/>
          <w:bCs/>
          <w:sz w:val="24"/>
          <w:szCs w:val="24"/>
        </w:rPr>
        <w:t xml:space="preserve">   </w:t>
      </w:r>
      <w:r>
        <w:rPr>
          <w:rFonts w:hint="eastAsia" w:asciiTheme="minorEastAsia" w:hAnsiTheme="minorEastAsia"/>
          <w:bCs/>
          <w:sz w:val="24"/>
          <w:szCs w:val="24"/>
          <w:lang w:val="en-US" w:eastAsia="zh-CN"/>
        </w:rPr>
        <w:t xml:space="preserve"> </w:t>
      </w:r>
      <w:r>
        <w:rPr>
          <w:rFonts w:asciiTheme="minorEastAsia" w:hAnsiTheme="minorEastAsia"/>
          <w:bCs/>
          <w:sz w:val="24"/>
          <w:szCs w:val="24"/>
        </w:rPr>
        <w:t xml:space="preserve">  </w:t>
      </w:r>
      <w:r>
        <w:rPr>
          <w:rFonts w:hint="eastAsia" w:asciiTheme="minorEastAsia" w:hAnsiTheme="minorEastAsia"/>
          <w:bCs/>
          <w:sz w:val="24"/>
          <w:szCs w:val="24"/>
        </w:rPr>
        <w:t>公告编号：</w:t>
      </w:r>
      <w:sdt>
        <w:sdtPr>
          <w:rPr>
            <w:rFonts w:hint="eastAsia" w:asciiTheme="minorEastAsia" w:hAnsiTheme="minorEastAsia"/>
            <w:bCs/>
            <w:sz w:val="24"/>
            <w:szCs w:val="24"/>
          </w:rPr>
          <w:alias w:val="临时公告编号"/>
          <w:tag w:val="_GBC_51438e46cb944a2bb6b9cb5e9d53d512"/>
          <w:id w:val="147454460"/>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2026-</w:t>
          </w:r>
          <w:r>
            <w:rPr>
              <w:rFonts w:hint="eastAsia" w:asciiTheme="minorEastAsia" w:hAnsiTheme="minorEastAsia"/>
              <w:bCs/>
              <w:sz w:val="24"/>
              <w:szCs w:val="24"/>
              <w:lang w:val="en-US" w:eastAsia="zh-CN"/>
            </w:rPr>
            <w:t>030</w:t>
          </w:r>
        </w:sdtContent>
      </w:sdt>
      <w:r>
        <w:rPr>
          <w:rFonts w:hint="eastAsia" w:asciiTheme="minorEastAsia" w:hAnsiTheme="minorEastAsia"/>
          <w:bCs/>
          <w:sz w:val="24"/>
          <w:szCs w:val="24"/>
        </w:rPr>
        <w:t xml:space="preserve"> </w:t>
      </w:r>
    </w:p>
    <w:p w14:paraId="587F7689">
      <w:pPr>
        <w:jc w:val="right"/>
        <w:rPr>
          <w:rFonts w:asciiTheme="minorEastAsia" w:hAnsiTheme="minorEastAsia"/>
          <w:b/>
          <w:sz w:val="24"/>
          <w:szCs w:val="24"/>
        </w:rPr>
      </w:pPr>
    </w:p>
    <w:p w14:paraId="5680CDEA">
      <w:pPr>
        <w:jc w:val="right"/>
        <w:rPr>
          <w:rFonts w:asciiTheme="minorEastAsia" w:hAnsiTheme="minorEastAsia"/>
          <w:b/>
          <w:sz w:val="24"/>
          <w:szCs w:val="24"/>
        </w:rPr>
      </w:pPr>
    </w:p>
    <w:p w14:paraId="50A3EB0D">
      <w:pPr>
        <w:adjustRightInd w:val="0"/>
        <w:snapToGrid w:val="0"/>
        <w:spacing w:line="360" w:lineRule="auto"/>
        <w:jc w:val="center"/>
        <w:rPr>
          <w:rFonts w:ascii="黑体" w:hAnsi="黑体" w:eastAsia="黑体"/>
          <w:b/>
          <w:color w:val="FF0000"/>
          <w:sz w:val="32"/>
          <w:szCs w:val="32"/>
        </w:rPr>
      </w:pPr>
      <w:r>
        <w:rPr>
          <w:rFonts w:hint="eastAsia" w:ascii="黑体" w:hAnsi="黑体" w:eastAsia="黑体"/>
          <w:b/>
          <w:color w:val="FF0000"/>
          <w:sz w:val="32"/>
          <w:szCs w:val="32"/>
          <w:lang w:val="en-US" w:eastAsia="zh-CN"/>
        </w:rPr>
        <w:t>山东步长制药股份有限公司</w:t>
      </w:r>
      <w:r>
        <w:rPr>
          <w:rFonts w:hint="eastAsia" w:ascii="黑体" w:hAnsi="黑体" w:eastAsia="黑体"/>
          <w:b/>
          <w:color w:val="FF0000"/>
          <w:sz w:val="32"/>
          <w:szCs w:val="32"/>
          <w:lang w:val="en-US" w:eastAsia="zh-CN"/>
        </w:rPr>
        <w:br w:type="textWrapping"/>
      </w:r>
      <w:r>
        <w:rPr>
          <w:rFonts w:hint="eastAsia" w:ascii="黑体" w:hAnsi="黑体" w:eastAsia="黑体"/>
          <w:b/>
          <w:color w:val="FF0000"/>
          <w:sz w:val="32"/>
          <w:szCs w:val="32"/>
          <w:lang w:val="en-US" w:eastAsia="zh-CN"/>
        </w:rPr>
        <w:t>关于为公司控股子公司提供担保的公告</w:t>
      </w:r>
    </w:p>
    <w:p w14:paraId="1FE22859">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4232B147">
      <w:pPr>
        <w:widowControl/>
        <w:adjustRightInd w:val="0"/>
        <w:snapToGrid w:val="0"/>
        <w:spacing w:line="560" w:lineRule="exact"/>
        <w:ind w:firstLine="600"/>
        <w:jc w:val="right"/>
        <w:rPr>
          <w:rFonts w:cs="仿宋_GB2312" w:asciiTheme="minorEastAsia" w:hAnsiTheme="minorEastAsia"/>
          <w:sz w:val="24"/>
          <w:szCs w:val="24"/>
        </w:rPr>
      </w:pPr>
    </w:p>
    <w:p w14:paraId="2DC7CD8E">
      <w:pPr>
        <w:widowControl/>
        <w:adjustRightInd w:val="0"/>
        <w:snapToGrid w:val="0"/>
        <w:spacing w:line="56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重要内容提示：</w:t>
      </w:r>
    </w:p>
    <w:p w14:paraId="6525957A">
      <w:pPr>
        <w:widowControl/>
        <w:numPr>
          <w:ilvl w:val="0"/>
          <w:numId w:val="1"/>
        </w:numPr>
        <w:adjustRightInd w:val="0"/>
        <w:snapToGrid w:val="0"/>
        <w:spacing w:line="560" w:lineRule="exact"/>
        <w:ind w:left="0"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担保对象及基本情况</w:t>
      </w:r>
    </w:p>
    <w:tbl>
      <w:tblPr>
        <w:tblStyle w:val="11"/>
        <w:tblW w:w="104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86"/>
        <w:gridCol w:w="1701"/>
        <w:gridCol w:w="1985"/>
        <w:gridCol w:w="1559"/>
        <w:gridCol w:w="1559"/>
      </w:tblGrid>
      <w:tr w14:paraId="32C23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686" w:type="dxa"/>
            <w:vAlign w:val="center"/>
          </w:tcPr>
          <w:p w14:paraId="357875EB">
            <w:pPr>
              <w:jc w:val="center"/>
              <w:rPr>
                <w:rFonts w:asciiTheme="minorEastAsia" w:hAnsiTheme="minorEastAsia"/>
                <w:b/>
                <w:bCs/>
                <w:sz w:val="24"/>
                <w:szCs w:val="24"/>
              </w:rPr>
            </w:pPr>
            <w:bookmarkStart w:id="0" w:name="_Hlk214888206"/>
            <w:r>
              <w:rPr>
                <w:rFonts w:hint="eastAsia" w:asciiTheme="minorEastAsia" w:hAnsiTheme="minorEastAsia"/>
                <w:b/>
                <w:bCs/>
                <w:sz w:val="24"/>
                <w:szCs w:val="24"/>
              </w:rPr>
              <w:t>被担保人名称</w:t>
            </w:r>
          </w:p>
        </w:tc>
        <w:tc>
          <w:tcPr>
            <w:tcW w:w="1701" w:type="dxa"/>
            <w:vAlign w:val="center"/>
          </w:tcPr>
          <w:p w14:paraId="69507762">
            <w:pPr>
              <w:jc w:val="center"/>
              <w:rPr>
                <w:rFonts w:asciiTheme="minorEastAsia" w:hAnsiTheme="minorEastAsia"/>
                <w:b/>
                <w:bCs/>
                <w:sz w:val="24"/>
                <w:szCs w:val="24"/>
              </w:rPr>
            </w:pPr>
            <w:r>
              <w:rPr>
                <w:rFonts w:hint="eastAsia" w:asciiTheme="minorEastAsia" w:hAnsiTheme="minorEastAsia"/>
                <w:b/>
                <w:bCs/>
                <w:sz w:val="24"/>
                <w:szCs w:val="24"/>
              </w:rPr>
              <w:t>本次担保金额</w:t>
            </w:r>
          </w:p>
        </w:tc>
        <w:tc>
          <w:tcPr>
            <w:tcW w:w="1985" w:type="dxa"/>
            <w:vAlign w:val="center"/>
          </w:tcPr>
          <w:p w14:paraId="4F00E196">
            <w:pPr>
              <w:jc w:val="center"/>
              <w:rPr>
                <w:rFonts w:asciiTheme="minorEastAsia" w:hAnsiTheme="minorEastAsia"/>
                <w:b/>
                <w:bCs/>
                <w:sz w:val="24"/>
                <w:szCs w:val="24"/>
              </w:rPr>
            </w:pPr>
            <w:r>
              <w:rPr>
                <w:rFonts w:hint="eastAsia" w:asciiTheme="minorEastAsia" w:hAnsiTheme="minorEastAsia"/>
                <w:b/>
                <w:bCs/>
                <w:sz w:val="24"/>
                <w:szCs w:val="24"/>
              </w:rPr>
              <w:t>实际为其提供的担保余额（不含本次担保金额）</w:t>
            </w:r>
          </w:p>
        </w:tc>
        <w:tc>
          <w:tcPr>
            <w:tcW w:w="1559" w:type="dxa"/>
            <w:vAlign w:val="center"/>
          </w:tcPr>
          <w:p w14:paraId="6FDB226A">
            <w:pPr>
              <w:jc w:val="center"/>
              <w:rPr>
                <w:rFonts w:asciiTheme="minorEastAsia" w:hAnsiTheme="minorEastAsia"/>
                <w:b/>
                <w:bCs/>
                <w:sz w:val="24"/>
                <w:szCs w:val="24"/>
              </w:rPr>
            </w:pPr>
            <w:r>
              <w:rPr>
                <w:rFonts w:hint="eastAsia" w:asciiTheme="minorEastAsia" w:hAnsiTheme="minorEastAsia"/>
                <w:b/>
                <w:bCs/>
                <w:sz w:val="24"/>
                <w:szCs w:val="24"/>
              </w:rPr>
              <w:t>是否在前期预计额度内</w:t>
            </w:r>
          </w:p>
        </w:tc>
        <w:tc>
          <w:tcPr>
            <w:tcW w:w="1559" w:type="dxa"/>
            <w:vAlign w:val="center"/>
          </w:tcPr>
          <w:p w14:paraId="44C41E11">
            <w:pPr>
              <w:jc w:val="center"/>
              <w:rPr>
                <w:rFonts w:asciiTheme="minorEastAsia" w:hAnsiTheme="minorEastAsia"/>
                <w:b/>
                <w:bCs/>
                <w:sz w:val="24"/>
                <w:szCs w:val="24"/>
              </w:rPr>
            </w:pPr>
            <w:r>
              <w:rPr>
                <w:rFonts w:hint="eastAsia" w:asciiTheme="minorEastAsia" w:hAnsiTheme="minorEastAsia"/>
                <w:b/>
                <w:bCs/>
                <w:sz w:val="24"/>
                <w:szCs w:val="24"/>
              </w:rPr>
              <w:t>本次担保是否有反担保</w:t>
            </w:r>
          </w:p>
        </w:tc>
      </w:tr>
      <w:tr w14:paraId="17E38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686" w:type="dxa"/>
            <w:vAlign w:val="center"/>
          </w:tcPr>
          <w:p w14:paraId="600B283B">
            <w:pPr>
              <w:rPr>
                <w:rFonts w:asciiTheme="minorEastAsia" w:hAnsiTheme="minorEastAsia"/>
                <w:sz w:val="24"/>
                <w:szCs w:val="24"/>
              </w:rPr>
            </w:pPr>
            <w:r>
              <w:rPr>
                <w:rFonts w:hint="eastAsia" w:asciiTheme="minorEastAsia" w:hAnsiTheme="minorEastAsia"/>
                <w:sz w:val="24"/>
                <w:szCs w:val="24"/>
              </w:rPr>
              <w:t>四川泸州步长生物制药有限公司</w:t>
            </w:r>
          </w:p>
        </w:tc>
        <w:tc>
          <w:tcPr>
            <w:tcW w:w="1701" w:type="dxa"/>
            <w:vAlign w:val="center"/>
          </w:tcPr>
          <w:p w14:paraId="27134C02">
            <w:pPr>
              <w:jc w:val="center"/>
              <w:rPr>
                <w:rFonts w:asciiTheme="minorEastAsia" w:hAnsiTheme="minorEastAsia"/>
                <w:sz w:val="24"/>
                <w:szCs w:val="24"/>
              </w:rPr>
            </w:pPr>
            <w:r>
              <w:rPr>
                <w:rFonts w:hint="eastAsia" w:asciiTheme="minorEastAsia" w:hAnsiTheme="minorEastAsia"/>
                <w:sz w:val="24"/>
                <w:szCs w:val="24"/>
              </w:rPr>
              <w:t>70,000万元</w:t>
            </w:r>
          </w:p>
        </w:tc>
        <w:tc>
          <w:tcPr>
            <w:tcW w:w="1985" w:type="dxa"/>
            <w:vAlign w:val="center"/>
          </w:tcPr>
          <w:p w14:paraId="2A57A3C6">
            <w:pPr>
              <w:jc w:val="center"/>
              <w:rPr>
                <w:rFonts w:asciiTheme="minorEastAsia" w:hAnsiTheme="minorEastAsia"/>
                <w:sz w:val="24"/>
                <w:szCs w:val="24"/>
              </w:rPr>
            </w:pPr>
            <w:r>
              <w:rPr>
                <w:rFonts w:hint="eastAsia" w:asciiTheme="minorEastAsia" w:hAnsiTheme="minorEastAsia"/>
                <w:sz w:val="24"/>
                <w:szCs w:val="24"/>
                <w:lang w:val="en-US" w:eastAsia="zh-CN"/>
              </w:rPr>
              <w:t>54,110</w:t>
            </w:r>
            <w:r>
              <w:rPr>
                <w:rFonts w:hint="eastAsia" w:asciiTheme="minorEastAsia" w:hAnsiTheme="minorEastAsia"/>
                <w:sz w:val="24"/>
                <w:szCs w:val="24"/>
              </w:rPr>
              <w:t>万元</w:t>
            </w:r>
          </w:p>
        </w:tc>
        <w:sdt>
          <w:sdtPr>
            <w:rPr>
              <w:rFonts w:asciiTheme="minorEastAsia" w:hAnsiTheme="minorEastAsia"/>
              <w:sz w:val="24"/>
              <w:szCs w:val="24"/>
            </w:rPr>
            <w:id w:val="147475348"/>
            <w:comboBox>
              <w:listItem w:value="选择一项。"/>
              <w:listItem w:displayText="是" w:value="是"/>
              <w:listItem w:displayText="否" w:value="否"/>
              <w:listItem w:displayText="不适用：____" w:value="不适用：____"/>
            </w:comboBox>
          </w:sdtPr>
          <w:sdtEndPr>
            <w:rPr>
              <w:rFonts w:asciiTheme="minorEastAsia" w:hAnsiTheme="minorEastAsia"/>
              <w:sz w:val="24"/>
              <w:szCs w:val="24"/>
            </w:rPr>
          </w:sdtEndPr>
          <w:sdtContent>
            <w:tc>
              <w:tcPr>
                <w:tcW w:w="1559" w:type="dxa"/>
                <w:vAlign w:val="center"/>
              </w:tcPr>
              <w:p w14:paraId="7F329B7F">
                <w:pPr>
                  <w:jc w:val="center"/>
                  <w:rPr>
                    <w:rFonts w:asciiTheme="minorEastAsia" w:hAnsiTheme="minorEastAsia"/>
                    <w:sz w:val="24"/>
                    <w:szCs w:val="24"/>
                  </w:rPr>
                </w:pPr>
                <w:r>
                  <w:rPr>
                    <w:rFonts w:asciiTheme="minorEastAsia" w:hAnsiTheme="minorEastAsia"/>
                    <w:sz w:val="24"/>
                    <w:szCs w:val="24"/>
                  </w:rPr>
                  <w:t>是</w:t>
                </w:r>
              </w:p>
            </w:tc>
          </w:sdtContent>
        </w:sdt>
        <w:sdt>
          <w:sdtPr>
            <w:rPr>
              <w:rFonts w:asciiTheme="minorEastAsia" w:hAnsiTheme="minorEastAsia"/>
              <w:sz w:val="24"/>
              <w:szCs w:val="24"/>
            </w:rPr>
            <w:id w:val="147472898"/>
            <w:comboBox>
              <w:listItem w:value="选择一项。"/>
              <w:listItem w:displayText="是" w:value="是"/>
              <w:listItem w:displayText="否" w:value="否"/>
              <w:listItem w:displayText="不适用：____" w:value="不适用：____"/>
            </w:comboBox>
          </w:sdtPr>
          <w:sdtEndPr>
            <w:rPr>
              <w:rFonts w:asciiTheme="minorEastAsia" w:hAnsiTheme="minorEastAsia"/>
              <w:sz w:val="24"/>
              <w:szCs w:val="24"/>
            </w:rPr>
          </w:sdtEndPr>
          <w:sdtContent>
            <w:tc>
              <w:tcPr>
                <w:tcW w:w="1559" w:type="dxa"/>
                <w:vAlign w:val="center"/>
              </w:tcPr>
              <w:p w14:paraId="53845CA8">
                <w:pPr>
                  <w:jc w:val="center"/>
                  <w:rPr>
                    <w:rFonts w:asciiTheme="minorEastAsia" w:hAnsiTheme="minorEastAsia"/>
                    <w:sz w:val="24"/>
                    <w:szCs w:val="24"/>
                  </w:rPr>
                </w:pPr>
                <w:r>
                  <w:rPr>
                    <w:rFonts w:asciiTheme="minorEastAsia" w:hAnsiTheme="minorEastAsia"/>
                    <w:sz w:val="24"/>
                    <w:szCs w:val="24"/>
                  </w:rPr>
                  <w:t>否</w:t>
                </w:r>
              </w:p>
            </w:tc>
          </w:sdtContent>
        </w:sdt>
      </w:tr>
      <w:tr w14:paraId="6CC1A6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686" w:type="dxa"/>
          </w:tcPr>
          <w:p w14:paraId="0FAE792A">
            <w:pPr>
              <w:rPr>
                <w:rFonts w:asciiTheme="minorEastAsia" w:hAnsiTheme="minorEastAsia"/>
                <w:sz w:val="24"/>
                <w:szCs w:val="24"/>
              </w:rPr>
            </w:pPr>
            <w:r>
              <w:rPr>
                <w:rFonts w:hint="eastAsia" w:asciiTheme="minorEastAsia" w:hAnsiTheme="minorEastAsia"/>
                <w:sz w:val="24"/>
                <w:szCs w:val="24"/>
              </w:rPr>
              <w:t>北京博源润步医药研发有限公司</w:t>
            </w:r>
          </w:p>
        </w:tc>
        <w:tc>
          <w:tcPr>
            <w:tcW w:w="1701" w:type="dxa"/>
          </w:tcPr>
          <w:p w14:paraId="336AFA7A">
            <w:pPr>
              <w:jc w:val="center"/>
              <w:rPr>
                <w:rFonts w:asciiTheme="minorEastAsia" w:hAnsiTheme="minorEastAsia"/>
                <w:sz w:val="24"/>
                <w:szCs w:val="24"/>
              </w:rPr>
            </w:pPr>
            <w:r>
              <w:rPr>
                <w:rFonts w:hint="eastAsia" w:asciiTheme="minorEastAsia" w:hAnsiTheme="minorEastAsia"/>
                <w:sz w:val="24"/>
                <w:szCs w:val="24"/>
              </w:rPr>
              <w:t>3,000万元</w:t>
            </w:r>
          </w:p>
        </w:tc>
        <w:tc>
          <w:tcPr>
            <w:tcW w:w="1985" w:type="dxa"/>
          </w:tcPr>
          <w:p w14:paraId="2A17F955">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3,000万元</w:t>
            </w:r>
          </w:p>
        </w:tc>
        <w:tc>
          <w:tcPr>
            <w:tcW w:w="1559" w:type="dxa"/>
          </w:tcPr>
          <w:p w14:paraId="74C4F1A4">
            <w:pPr>
              <w:jc w:val="center"/>
              <w:rPr>
                <w:rFonts w:asciiTheme="minorEastAsia" w:hAnsiTheme="minorEastAsia"/>
                <w:sz w:val="24"/>
                <w:szCs w:val="24"/>
              </w:rPr>
            </w:pPr>
            <w:r>
              <w:rPr>
                <w:rFonts w:hint="eastAsia" w:asciiTheme="minorEastAsia" w:hAnsiTheme="minorEastAsia"/>
                <w:sz w:val="24"/>
                <w:szCs w:val="24"/>
              </w:rPr>
              <w:t>是</w:t>
            </w:r>
          </w:p>
        </w:tc>
        <w:tc>
          <w:tcPr>
            <w:tcW w:w="1559" w:type="dxa"/>
          </w:tcPr>
          <w:p w14:paraId="42771085">
            <w:pPr>
              <w:jc w:val="center"/>
              <w:rPr>
                <w:rFonts w:asciiTheme="minorEastAsia" w:hAnsiTheme="minorEastAsia"/>
                <w:sz w:val="24"/>
                <w:szCs w:val="24"/>
              </w:rPr>
            </w:pPr>
            <w:r>
              <w:rPr>
                <w:rFonts w:hint="eastAsia" w:asciiTheme="minorEastAsia" w:hAnsiTheme="minorEastAsia"/>
                <w:sz w:val="24"/>
                <w:szCs w:val="24"/>
              </w:rPr>
              <w:t>否</w:t>
            </w:r>
          </w:p>
        </w:tc>
      </w:tr>
      <w:bookmarkEnd w:id="0"/>
    </w:tbl>
    <w:p w14:paraId="5C1EEF5F"/>
    <w:p w14:paraId="00387C7D">
      <w:pPr>
        <w:widowControl/>
        <w:numPr>
          <w:ilvl w:val="0"/>
          <w:numId w:val="1"/>
        </w:numPr>
        <w:adjustRightInd w:val="0"/>
        <w:snapToGrid w:val="0"/>
        <w:spacing w:line="560" w:lineRule="exact"/>
        <w:ind w:left="0"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1"/>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14:paraId="5E53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14:paraId="120C85AE">
            <w:pPr>
              <w:widowControl/>
              <w:adjustRightInd w:val="0"/>
              <w:snapToGrid w:val="0"/>
              <w:rPr>
                <w:rFonts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14:paraId="05711585">
            <w:pPr>
              <w:widowControl/>
              <w:adjustRightInd w:val="0"/>
              <w:snapToGrid w:val="0"/>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0</w:t>
            </w:r>
          </w:p>
        </w:tc>
      </w:tr>
      <w:tr w14:paraId="7861D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14:paraId="3A9A466F">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截至本公告日上市公司及其控股子公司对外担保总额（万元）</w:t>
            </w:r>
          </w:p>
        </w:tc>
        <w:tc>
          <w:tcPr>
            <w:tcW w:w="4863" w:type="dxa"/>
            <w:vAlign w:val="center"/>
          </w:tcPr>
          <w:p w14:paraId="4B8CECB6">
            <w:pPr>
              <w:widowControl/>
              <w:adjustRightInd w:val="0"/>
              <w:snapToGrid w:val="0"/>
              <w:jc w:val="righ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265,330.79</w:t>
            </w:r>
          </w:p>
        </w:tc>
      </w:tr>
      <w:tr w14:paraId="2C3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14:paraId="5D097A22">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对外担保总额占上市公司最近一期经审计净资产的比例（%）</w:t>
            </w:r>
          </w:p>
        </w:tc>
        <w:tc>
          <w:tcPr>
            <w:tcW w:w="4863" w:type="dxa"/>
            <w:vAlign w:val="center"/>
          </w:tcPr>
          <w:p w14:paraId="4F9F4564">
            <w:pPr>
              <w:widowControl/>
              <w:adjustRightInd w:val="0"/>
              <w:snapToGrid w:val="0"/>
              <w:jc w:val="righ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25.97%</w:t>
            </w:r>
          </w:p>
        </w:tc>
      </w:tr>
      <w:tr w14:paraId="2A86B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14:paraId="292EE299">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14:paraId="56D69D86">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担保金额（含本次）超过上市公司最近一期经审计净资产50%</w:t>
            </w:r>
          </w:p>
          <w:p w14:paraId="0265FD24">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对外担保总额（含本次）超过上市公司最近一期经审计净资产100%</w:t>
            </w:r>
          </w:p>
          <w:p w14:paraId="1DAD114B">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对合并报表外单位担保总额（含本次）达到或超过最近一期经审计净资产30%</w:t>
            </w:r>
          </w:p>
          <w:p w14:paraId="04898382">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rPr>
              <w:t>本次</w:t>
            </w:r>
            <w:r>
              <w:rPr>
                <w:rFonts w:hint="eastAsia" w:asciiTheme="minorEastAsia" w:hAnsiTheme="minorEastAsia" w:cstheme="minorEastAsia"/>
                <w:color w:val="000000"/>
                <w:kern w:val="0"/>
                <w:sz w:val="24"/>
                <w:szCs w:val="24"/>
              </w:rPr>
              <w:t>对资产负债率超过70%的单位提供担保</w:t>
            </w:r>
          </w:p>
        </w:tc>
      </w:tr>
    </w:tbl>
    <w:p w14:paraId="1D375683">
      <w:pPr>
        <w:widowControl/>
        <w:adjustRightInd w:val="0"/>
        <w:snapToGrid w:val="0"/>
        <w:spacing w:line="560" w:lineRule="exact"/>
        <w:ind w:firstLine="600"/>
        <w:rPr>
          <w:rFonts w:asciiTheme="minorEastAsia" w:hAnsiTheme="minorEastAsia" w:cstheme="minorEastAsia"/>
          <w:kern w:val="0"/>
          <w:sz w:val="24"/>
          <w:szCs w:val="24"/>
        </w:rPr>
      </w:pPr>
    </w:p>
    <w:p w14:paraId="6EFE9EC0">
      <w:pPr>
        <w:keepNext w:val="0"/>
        <w:keepLines w:val="0"/>
        <w:pageBreakBefore w:val="0"/>
        <w:widowControl/>
        <w:kinsoku/>
        <w:wordWrap/>
        <w:overflowPunct/>
        <w:topLinePunct w:val="0"/>
        <w:autoSpaceDE/>
        <w:autoSpaceDN/>
        <w:bidi w:val="0"/>
        <w:adjustRightInd w:val="0"/>
        <w:snapToGrid w:val="0"/>
        <w:spacing w:line="560" w:lineRule="exact"/>
        <w:ind w:left="0" w:firstLine="482" w:firstLineChars="200"/>
        <w:textAlignment w:val="auto"/>
        <w:outlineLvl w:val="0"/>
        <w:rPr>
          <w:rFonts w:asciiTheme="minorEastAsia" w:hAnsiTheme="minorEastAsia" w:cstheme="minorEastAsia"/>
          <w:b/>
          <w:bCs/>
          <w:sz w:val="24"/>
          <w:szCs w:val="24"/>
        </w:rPr>
      </w:pPr>
      <w:r>
        <w:rPr>
          <w:rFonts w:hint="eastAsia" w:asciiTheme="minorEastAsia" w:hAnsiTheme="minorEastAsia" w:cstheme="minorEastAsia"/>
          <w:b/>
          <w:bCs/>
          <w:sz w:val="24"/>
          <w:szCs w:val="24"/>
        </w:rPr>
        <w:t>一、担保情况概述</w:t>
      </w:r>
    </w:p>
    <w:p w14:paraId="391D30AC">
      <w:pPr>
        <w:pStyle w:val="16"/>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firstLine="480" w:firstLineChars="200"/>
        <w:textAlignment w:val="auto"/>
        <w:outlineLvl w:val="1"/>
        <w:rPr>
          <w:rFonts w:asciiTheme="minorEastAsia" w:hAnsiTheme="minorEastAsia" w:cstheme="minorEastAsia"/>
          <w:sz w:val="24"/>
          <w:szCs w:val="24"/>
        </w:rPr>
      </w:pPr>
      <w:r>
        <w:rPr>
          <w:rFonts w:hint="eastAsia" w:asciiTheme="minorEastAsia" w:hAnsiTheme="minorEastAsia" w:cstheme="minorEastAsia"/>
          <w:sz w:val="24"/>
          <w:szCs w:val="24"/>
        </w:rPr>
        <w:t>担保的基本情况</w:t>
      </w:r>
    </w:p>
    <w:p w14:paraId="08791089">
      <w:pPr>
        <w:pStyle w:val="16"/>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outlineLvl w:val="1"/>
        <w:rPr>
          <w:rFonts w:asciiTheme="minorEastAsia" w:hAnsiTheme="minorEastAsia" w:cstheme="minorEastAsia"/>
          <w:sz w:val="24"/>
          <w:szCs w:val="24"/>
        </w:rPr>
      </w:pPr>
      <w:r>
        <w:rPr>
          <w:rFonts w:hint="eastAsia" w:asciiTheme="minorEastAsia" w:hAnsiTheme="minorEastAsia" w:cstheme="minorEastAsia"/>
          <w:sz w:val="24"/>
          <w:szCs w:val="24"/>
        </w:rPr>
        <w:t>山东步长制药股份有限公司（以下简称 “公司”）于2026年3月2</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日与中国工商银行股份有限公司泸县支行（以下简称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工商银行泸县支行</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）签订了《保证合同》，为公司控股子公司四川泸州步长生物制药有限公司（以下简称“泸州步长”）与工商银行泸县支行签订的《</w:t>
      </w:r>
      <w:r>
        <w:rPr>
          <w:rFonts w:hint="eastAsia" w:ascii="宋体" w:hAnsi="宋体" w:eastAsia="宋体" w:cs="宋体"/>
          <w:sz w:val="24"/>
          <w:szCs w:val="24"/>
        </w:rPr>
        <w:t>固定资产借款合同</w:t>
      </w:r>
      <w:r>
        <w:rPr>
          <w:rFonts w:hint="eastAsia" w:asciiTheme="minorEastAsia" w:hAnsiTheme="minorEastAsia" w:cstheme="minorEastAsia"/>
          <w:sz w:val="24"/>
          <w:szCs w:val="24"/>
        </w:rPr>
        <w:t>》提供70,000万元连带责任保证。</w:t>
      </w:r>
    </w:p>
    <w:p w14:paraId="55A1E5D5">
      <w:pPr>
        <w:pStyle w:val="16"/>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outlineLvl w:val="1"/>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公司于2026年3月23日</w:t>
      </w:r>
      <w:r>
        <w:rPr>
          <w:rFonts w:hint="eastAsia" w:asciiTheme="minorEastAsia" w:hAnsiTheme="minorEastAsia" w:cstheme="minorEastAsia"/>
          <w:sz w:val="24"/>
          <w:szCs w:val="24"/>
        </w:rPr>
        <w:t>与兴业银行股份有限公司北京自贸试验区高端产业片区支行（以下简称 “兴业银行北京自贸试验区高端产业片区支行”）签订了《最高额保证合同》，为公司控股子公司北京博源润步医药研发有限公司（以下简称 “博源润步”）与兴业银行北京自贸试验区高端产业片区支行签订的《额度授信合同》提供3,000万元连带责任保证。</w:t>
      </w:r>
    </w:p>
    <w:p w14:paraId="7E81FD8D">
      <w:pPr>
        <w:pStyle w:val="16"/>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firstLine="480" w:firstLineChars="200"/>
        <w:textAlignment w:val="auto"/>
        <w:outlineLvl w:val="1"/>
        <w:rPr>
          <w:rFonts w:asciiTheme="minorEastAsia" w:hAnsiTheme="minorEastAsia" w:cstheme="minorEastAsia"/>
          <w:sz w:val="24"/>
          <w:szCs w:val="24"/>
        </w:rPr>
      </w:pPr>
      <w:r>
        <w:rPr>
          <w:rFonts w:hint="eastAsia" w:asciiTheme="minorEastAsia" w:hAnsiTheme="minorEastAsia" w:cstheme="minorEastAsia"/>
          <w:sz w:val="24"/>
          <w:szCs w:val="24"/>
        </w:rPr>
        <w:t>内部决策程序</w:t>
      </w:r>
    </w:p>
    <w:p w14:paraId="33FF332E">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eastAsia" w:asciiTheme="minorEastAsia" w:hAnsiTheme="minorEastAsia" w:cstheme="minorEastAsia"/>
          <w:color w:val="000000"/>
          <w:kern w:val="0"/>
          <w:sz w:val="24"/>
          <w:szCs w:val="24"/>
        </w:rPr>
      </w:pPr>
      <w:bookmarkStart w:id="1" w:name="OLE_LINK2"/>
      <w:bookmarkStart w:id="2" w:name="OLE_LINK3"/>
      <w:r>
        <w:rPr>
          <w:rFonts w:hint="eastAsia" w:asciiTheme="minorEastAsia" w:hAnsiTheme="minorEastAsia" w:cstheme="minorEastAsia"/>
          <w:color w:val="000000"/>
          <w:kern w:val="0"/>
          <w:sz w:val="24"/>
          <w:szCs w:val="24"/>
        </w:rPr>
        <w:t>公司于2025年4月25日召开第五届董事会第二十次（年度）会议，于2025年6月26日召开2024年年度股东会，审议通过了《关于审议公司及控股子公司2025年度预计新增融资额度及担保额度的议案》，同意2025年度公司及控股子公司向金融机构申请授信总额不超过人民币69.2亿元的综合融资额度。上述融资事项如需采用保证或抵押等担保方式，担保额度不超过69.2亿元人民币，其中，对本公司新增担保额度为260,000.00万元人民币，对资产负债率为70%以上的控股子公司新增担保额度为362,000.00万元人民币，对资产负债率为70%以下的控股子公司新增担保额度为70,000.00万元人民币。实际担保的金额在总担保额度内，以金融机构与公司及控股子公司实际发生的担保金额为准。在年度预计额度内，各控股子公司的担保额度可按照实际情况内部调剂使用，调剂发生时资产负债率为70%以上的子公司仅能从股东会审议时资产负债率为70%以上的子公司处获得担保额度。</w:t>
      </w:r>
    </w:p>
    <w:p w14:paraId="65AD0C68">
      <w:pPr>
        <w:widowControl/>
        <w:adjustRightInd w:val="0"/>
        <w:snapToGrid w:val="0"/>
        <w:spacing w:line="560" w:lineRule="exact"/>
        <w:ind w:firstLine="42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具体内容详见公司于2025年4月26日和2025年6月27日披露于上海证券交易所网站（www.sse.com.cn）的《关于公司及控股子公司2025年度预计新增融资额度及担保额度的公告》（公告编号：2025-071）、《第五届董事会第二十次（年度）会议决议公告》（公告编号：2025-064）、《2024年年度股东会决议公告》（公告编号：2025-124）。</w:t>
      </w:r>
      <w:bookmarkEnd w:id="1"/>
      <w:bookmarkEnd w:id="2"/>
    </w:p>
    <w:p w14:paraId="38249210">
      <w:pPr>
        <w:widowControl/>
        <w:adjustRightInd w:val="0"/>
        <w:snapToGrid w:val="0"/>
        <w:spacing w:line="560" w:lineRule="exact"/>
        <w:ind w:firstLine="42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本次担保事项在前述授权额度范围内。</w:t>
      </w:r>
    </w:p>
    <w:p w14:paraId="56513B3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（三）担保额度调剂情况</w:t>
      </w:r>
    </w:p>
    <w:p w14:paraId="18511A7B">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根据子公司实际经营需求，在股东会审议批准的2025年度新增担保额度范围内，公司各下属控股子公司的担保额度可按照实际情况内部调剂使用，具体情况如下：</w:t>
      </w:r>
    </w:p>
    <w:p w14:paraId="2DFD4A1D">
      <w:pPr>
        <w:widowControl/>
        <w:adjustRightInd w:val="0"/>
        <w:snapToGrid w:val="0"/>
        <w:spacing w:line="560" w:lineRule="exact"/>
        <w:ind w:firstLine="420"/>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单位：万元</w:t>
      </w:r>
    </w:p>
    <w:tbl>
      <w:tblPr>
        <w:tblStyle w:val="11"/>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950"/>
        <w:gridCol w:w="1418"/>
        <w:gridCol w:w="1065"/>
        <w:gridCol w:w="1487"/>
        <w:gridCol w:w="1682"/>
      </w:tblGrid>
      <w:tr w14:paraId="5CC6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75" w:type="dxa"/>
            <w:tcBorders>
              <w:top w:val="single" w:color="auto" w:sz="4" w:space="0"/>
              <w:left w:val="single" w:color="auto" w:sz="4" w:space="0"/>
              <w:bottom w:val="single" w:color="auto" w:sz="4" w:space="0"/>
              <w:right w:val="single" w:color="auto" w:sz="4" w:space="0"/>
            </w:tcBorders>
            <w:vAlign w:val="center"/>
          </w:tcPr>
          <w:p w14:paraId="17120E32">
            <w:pPr>
              <w:widowControl/>
              <w:autoSpaceDE w:val="0"/>
              <w:adjustRightInd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担保方</w:t>
            </w:r>
          </w:p>
        </w:tc>
        <w:tc>
          <w:tcPr>
            <w:tcW w:w="1950" w:type="dxa"/>
            <w:tcBorders>
              <w:top w:val="single" w:color="auto" w:sz="4" w:space="0"/>
              <w:left w:val="single" w:color="auto" w:sz="4" w:space="0"/>
              <w:bottom w:val="single" w:color="auto" w:sz="4" w:space="0"/>
              <w:right w:val="single" w:color="auto" w:sz="4" w:space="0"/>
            </w:tcBorders>
            <w:vAlign w:val="center"/>
          </w:tcPr>
          <w:p w14:paraId="2AB73FB3">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被担保方</w:t>
            </w:r>
          </w:p>
        </w:tc>
        <w:tc>
          <w:tcPr>
            <w:tcW w:w="1418" w:type="dxa"/>
            <w:tcBorders>
              <w:top w:val="single" w:color="auto" w:sz="4" w:space="0"/>
              <w:left w:val="single" w:color="auto" w:sz="4" w:space="0"/>
              <w:bottom w:val="single" w:color="auto" w:sz="4" w:space="0"/>
              <w:right w:val="single" w:color="auto" w:sz="4" w:space="0"/>
            </w:tcBorders>
            <w:vAlign w:val="center"/>
          </w:tcPr>
          <w:p w14:paraId="53137DF5">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本次调剂前担保额度</w:t>
            </w:r>
          </w:p>
        </w:tc>
        <w:tc>
          <w:tcPr>
            <w:tcW w:w="1065" w:type="dxa"/>
            <w:tcBorders>
              <w:top w:val="single" w:color="auto" w:sz="4" w:space="0"/>
              <w:left w:val="single" w:color="auto" w:sz="4" w:space="0"/>
              <w:bottom w:val="single" w:color="auto" w:sz="4" w:space="0"/>
              <w:right w:val="single" w:color="auto" w:sz="4" w:space="0"/>
            </w:tcBorders>
            <w:vAlign w:val="center"/>
          </w:tcPr>
          <w:p w14:paraId="2DD4083B">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本次调剂额度</w:t>
            </w:r>
          </w:p>
        </w:tc>
        <w:tc>
          <w:tcPr>
            <w:tcW w:w="1487" w:type="dxa"/>
            <w:tcBorders>
              <w:top w:val="single" w:color="auto" w:sz="4" w:space="0"/>
              <w:left w:val="single" w:color="auto" w:sz="4" w:space="0"/>
              <w:bottom w:val="single" w:color="auto" w:sz="4" w:space="0"/>
              <w:right w:val="single" w:color="auto" w:sz="4" w:space="0"/>
            </w:tcBorders>
            <w:vAlign w:val="center"/>
          </w:tcPr>
          <w:p w14:paraId="3A4C8C50">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本次调剂后担保额度</w:t>
            </w:r>
          </w:p>
        </w:tc>
        <w:tc>
          <w:tcPr>
            <w:tcW w:w="1682" w:type="dxa"/>
            <w:tcBorders>
              <w:top w:val="single" w:color="auto" w:sz="4" w:space="0"/>
              <w:left w:val="single" w:color="auto" w:sz="4" w:space="0"/>
              <w:bottom w:val="single" w:color="auto" w:sz="4" w:space="0"/>
              <w:right w:val="single" w:color="auto" w:sz="4" w:space="0"/>
            </w:tcBorders>
            <w:vAlign w:val="center"/>
          </w:tcPr>
          <w:p w14:paraId="25AF9A7A">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调剂后尚未使用担保额度</w:t>
            </w:r>
          </w:p>
        </w:tc>
      </w:tr>
      <w:tr w14:paraId="6B9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77" w:type="dxa"/>
            <w:gridSpan w:val="6"/>
            <w:tcBorders>
              <w:top w:val="single" w:color="auto" w:sz="4" w:space="0"/>
              <w:left w:val="single" w:color="auto" w:sz="4" w:space="0"/>
              <w:bottom w:val="single" w:color="auto" w:sz="4" w:space="0"/>
              <w:right w:val="single" w:color="auto" w:sz="4" w:space="0"/>
            </w:tcBorders>
            <w:vAlign w:val="center"/>
          </w:tcPr>
          <w:p w14:paraId="338AB6E4">
            <w:pPr>
              <w:keepNext w:val="0"/>
              <w:keepLines w:val="0"/>
              <w:pageBreakBefore w:val="0"/>
              <w:widowControl/>
              <w:kinsoku/>
              <w:wordWrap/>
              <w:overflowPunct/>
              <w:topLinePunct w:val="0"/>
              <w:autoSpaceDE w:val="0"/>
              <w:autoSpaceDN/>
              <w:bidi w:val="0"/>
              <w:adjustRightInd w:val="0"/>
              <w:snapToGrid w:val="0"/>
              <w:spacing w:line="240" w:lineRule="auto"/>
              <w:jc w:val="left"/>
              <w:textAlignment w:val="auto"/>
              <w:rPr>
                <w:rFonts w:hint="eastAsia" w:ascii="宋体" w:hAnsi="宋体"/>
                <w:color w:val="000000"/>
                <w:kern w:val="0"/>
                <w:sz w:val="24"/>
                <w:szCs w:val="24"/>
              </w:rPr>
            </w:pPr>
            <w:r>
              <w:rPr>
                <w:rFonts w:hint="eastAsia" w:ascii="宋体" w:hAnsi="宋体"/>
                <w:color w:val="000000"/>
                <w:kern w:val="0"/>
                <w:sz w:val="24"/>
                <w:szCs w:val="24"/>
              </w:rPr>
              <w:t>截至2024年12月31日资产负债率为70%以上的控股子公司</w:t>
            </w:r>
          </w:p>
        </w:tc>
      </w:tr>
      <w:tr w14:paraId="4FB5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tcBorders>
              <w:top w:val="nil"/>
              <w:left w:val="single" w:color="auto" w:sz="4" w:space="0"/>
              <w:bottom w:val="single" w:color="auto" w:sz="4" w:space="0"/>
              <w:right w:val="single" w:color="auto" w:sz="4" w:space="0"/>
            </w:tcBorders>
            <w:vAlign w:val="center"/>
          </w:tcPr>
          <w:p w14:paraId="1D4E0BFF">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公司及控股子公司</w:t>
            </w:r>
          </w:p>
        </w:tc>
        <w:tc>
          <w:tcPr>
            <w:tcW w:w="1950" w:type="dxa"/>
            <w:tcBorders>
              <w:top w:val="single" w:color="auto" w:sz="4" w:space="0"/>
              <w:left w:val="single" w:color="auto" w:sz="4" w:space="0"/>
              <w:bottom w:val="single" w:color="auto" w:sz="4" w:space="0"/>
              <w:right w:val="single" w:color="auto" w:sz="4" w:space="0"/>
            </w:tcBorders>
            <w:vAlign w:val="center"/>
          </w:tcPr>
          <w:p w14:paraId="562F056F">
            <w:pPr>
              <w:widowControl/>
              <w:autoSpaceDE w:val="0"/>
              <w:adjustRightInd w:val="0"/>
              <w:snapToGrid w:val="0"/>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浙江天元生物药业有限公司</w:t>
            </w:r>
          </w:p>
        </w:tc>
        <w:tc>
          <w:tcPr>
            <w:tcW w:w="1418" w:type="dxa"/>
            <w:tcBorders>
              <w:top w:val="single" w:color="auto" w:sz="4" w:space="0"/>
              <w:left w:val="single" w:color="auto" w:sz="4" w:space="0"/>
              <w:bottom w:val="single" w:color="auto" w:sz="4" w:space="0"/>
              <w:right w:val="single" w:color="auto" w:sz="4" w:space="0"/>
            </w:tcBorders>
            <w:vAlign w:val="center"/>
          </w:tcPr>
          <w:p w14:paraId="64F05E52">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30,000</w:t>
            </w:r>
          </w:p>
        </w:tc>
        <w:tc>
          <w:tcPr>
            <w:tcW w:w="1065" w:type="dxa"/>
            <w:tcBorders>
              <w:top w:val="single" w:color="auto" w:sz="4" w:space="0"/>
              <w:left w:val="single" w:color="auto" w:sz="4" w:space="0"/>
              <w:bottom w:val="single" w:color="auto" w:sz="4" w:space="0"/>
              <w:right w:val="single" w:color="auto" w:sz="4" w:space="0"/>
            </w:tcBorders>
            <w:vAlign w:val="center"/>
          </w:tcPr>
          <w:p w14:paraId="745F5850">
            <w:pPr>
              <w:widowControl/>
              <w:autoSpaceDE w:val="0"/>
              <w:adjustRightInd w:val="0"/>
              <w:snapToGrid w:val="0"/>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w:t>
            </w:r>
            <w:r>
              <w:rPr>
                <w:rFonts w:ascii="宋体" w:hAnsi="宋体"/>
                <w:color w:val="000000"/>
                <w:kern w:val="0"/>
                <w:sz w:val="24"/>
                <w:szCs w:val="24"/>
              </w:rPr>
              <w:t>30</w:t>
            </w:r>
            <w:r>
              <w:rPr>
                <w:rFonts w:hint="eastAsia" w:ascii="宋体" w:hAnsi="宋体"/>
                <w:color w:val="000000"/>
                <w:kern w:val="0"/>
                <w:sz w:val="24"/>
                <w:szCs w:val="24"/>
              </w:rPr>
              <w:t>,000</w:t>
            </w:r>
          </w:p>
        </w:tc>
        <w:tc>
          <w:tcPr>
            <w:tcW w:w="1487" w:type="dxa"/>
            <w:tcBorders>
              <w:top w:val="single" w:color="auto" w:sz="4" w:space="0"/>
              <w:left w:val="single" w:color="auto" w:sz="4" w:space="0"/>
              <w:bottom w:val="single" w:color="auto" w:sz="4" w:space="0"/>
              <w:right w:val="single" w:color="auto" w:sz="4" w:space="0"/>
            </w:tcBorders>
            <w:vAlign w:val="center"/>
          </w:tcPr>
          <w:p w14:paraId="08CBDDD1">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0</w:t>
            </w:r>
          </w:p>
        </w:tc>
        <w:tc>
          <w:tcPr>
            <w:tcW w:w="1682" w:type="dxa"/>
            <w:tcBorders>
              <w:top w:val="single" w:color="auto" w:sz="4" w:space="0"/>
              <w:left w:val="single" w:color="auto" w:sz="4" w:space="0"/>
              <w:bottom w:val="single" w:color="auto" w:sz="4" w:space="0"/>
              <w:right w:val="single" w:color="auto" w:sz="4" w:space="0"/>
            </w:tcBorders>
            <w:vAlign w:val="center"/>
          </w:tcPr>
          <w:p w14:paraId="10094C02">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0</w:t>
            </w:r>
          </w:p>
        </w:tc>
      </w:tr>
      <w:tr w14:paraId="109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0" w:type="auto"/>
            <w:vMerge w:val="continue"/>
            <w:tcBorders>
              <w:top w:val="nil"/>
              <w:left w:val="single" w:color="auto" w:sz="4" w:space="0"/>
              <w:bottom w:val="single" w:color="auto" w:sz="4" w:space="0"/>
              <w:right w:val="single" w:color="auto" w:sz="4" w:space="0"/>
            </w:tcBorders>
            <w:vAlign w:val="center"/>
          </w:tcPr>
          <w:p w14:paraId="0510EA3F">
            <w:pPr>
              <w:widowControl/>
              <w:jc w:val="center"/>
              <w:rPr>
                <w:rFonts w:ascii="宋体" w:hAnsi="宋体" w:eastAsia="宋体"/>
                <w:color w:val="000000"/>
                <w:kern w:val="0"/>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4F7351F">
            <w:pPr>
              <w:widowControl/>
              <w:autoSpaceDE w:val="0"/>
              <w:adjustRightInd w:val="0"/>
              <w:snapToGrid w:val="0"/>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四川泸州步长生物制药有限公司</w:t>
            </w:r>
          </w:p>
        </w:tc>
        <w:tc>
          <w:tcPr>
            <w:tcW w:w="1418" w:type="dxa"/>
            <w:tcBorders>
              <w:top w:val="single" w:color="auto" w:sz="4" w:space="0"/>
              <w:left w:val="single" w:color="auto" w:sz="4" w:space="0"/>
              <w:bottom w:val="single" w:color="auto" w:sz="4" w:space="0"/>
              <w:right w:val="single" w:color="auto" w:sz="4" w:space="0"/>
            </w:tcBorders>
            <w:vAlign w:val="center"/>
          </w:tcPr>
          <w:p w14:paraId="4ABDD5FB">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49,000</w:t>
            </w:r>
          </w:p>
        </w:tc>
        <w:tc>
          <w:tcPr>
            <w:tcW w:w="1065" w:type="dxa"/>
            <w:tcBorders>
              <w:top w:val="single" w:color="auto" w:sz="4" w:space="0"/>
              <w:left w:val="single" w:color="auto" w:sz="4" w:space="0"/>
              <w:bottom w:val="single" w:color="auto" w:sz="4" w:space="0"/>
              <w:right w:val="single" w:color="auto" w:sz="4" w:space="0"/>
            </w:tcBorders>
            <w:vAlign w:val="center"/>
          </w:tcPr>
          <w:p w14:paraId="6FC6D16D">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30</w:t>
            </w:r>
            <w:r>
              <w:rPr>
                <w:rFonts w:hint="eastAsia" w:ascii="宋体" w:hAnsi="宋体"/>
                <w:color w:val="000000"/>
                <w:kern w:val="0"/>
                <w:sz w:val="24"/>
                <w:szCs w:val="24"/>
              </w:rPr>
              <w:t>,000</w:t>
            </w:r>
          </w:p>
        </w:tc>
        <w:tc>
          <w:tcPr>
            <w:tcW w:w="1487" w:type="dxa"/>
            <w:tcBorders>
              <w:top w:val="single" w:color="auto" w:sz="4" w:space="0"/>
              <w:left w:val="single" w:color="auto" w:sz="4" w:space="0"/>
              <w:bottom w:val="single" w:color="auto" w:sz="4" w:space="0"/>
              <w:right w:val="single" w:color="auto" w:sz="4" w:space="0"/>
            </w:tcBorders>
            <w:vAlign w:val="center"/>
          </w:tcPr>
          <w:p w14:paraId="395D3B3C">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79</w:t>
            </w:r>
            <w:r>
              <w:rPr>
                <w:rFonts w:hint="eastAsia" w:ascii="宋体" w:hAnsi="宋体"/>
                <w:color w:val="000000"/>
                <w:kern w:val="0"/>
                <w:sz w:val="24"/>
                <w:szCs w:val="24"/>
              </w:rPr>
              <w:t>,000</w:t>
            </w:r>
          </w:p>
        </w:tc>
        <w:tc>
          <w:tcPr>
            <w:tcW w:w="1682" w:type="dxa"/>
            <w:tcBorders>
              <w:top w:val="single" w:color="auto" w:sz="4" w:space="0"/>
              <w:left w:val="single" w:color="auto" w:sz="4" w:space="0"/>
              <w:bottom w:val="single" w:color="auto" w:sz="4" w:space="0"/>
              <w:right w:val="single" w:color="auto" w:sz="4" w:space="0"/>
            </w:tcBorders>
            <w:vAlign w:val="center"/>
          </w:tcPr>
          <w:p w14:paraId="48B6315B">
            <w:pPr>
              <w:widowControl/>
              <w:autoSpaceDE w:val="0"/>
              <w:adjustRightInd w:val="0"/>
              <w:snapToGrid w:val="0"/>
              <w:spacing w:line="360" w:lineRule="auto"/>
              <w:jc w:val="center"/>
              <w:rPr>
                <w:rFonts w:hint="eastAsia" w:ascii="宋体" w:hAnsi="宋体"/>
                <w:color w:val="000000"/>
                <w:kern w:val="0"/>
                <w:sz w:val="24"/>
                <w:szCs w:val="24"/>
              </w:rPr>
            </w:pPr>
            <w:r>
              <w:rPr>
                <w:rFonts w:ascii="宋体" w:hAnsi="宋体"/>
                <w:color w:val="000000"/>
                <w:kern w:val="0"/>
                <w:sz w:val="24"/>
                <w:szCs w:val="24"/>
              </w:rPr>
              <w:t>9</w:t>
            </w:r>
            <w:r>
              <w:rPr>
                <w:rFonts w:hint="eastAsia" w:ascii="宋体" w:hAnsi="宋体"/>
                <w:color w:val="000000"/>
                <w:kern w:val="0"/>
                <w:sz w:val="24"/>
                <w:szCs w:val="24"/>
              </w:rPr>
              <w:t>,</w:t>
            </w:r>
            <w:r>
              <w:rPr>
                <w:rFonts w:ascii="宋体" w:hAnsi="宋体"/>
                <w:color w:val="000000"/>
                <w:kern w:val="0"/>
                <w:sz w:val="24"/>
                <w:szCs w:val="24"/>
              </w:rPr>
              <w:t>0</w:t>
            </w:r>
            <w:r>
              <w:rPr>
                <w:rFonts w:hint="eastAsia" w:ascii="宋体" w:hAnsi="宋体"/>
                <w:color w:val="000000"/>
                <w:kern w:val="0"/>
                <w:sz w:val="24"/>
                <w:szCs w:val="24"/>
              </w:rPr>
              <w:t>00</w:t>
            </w:r>
          </w:p>
        </w:tc>
      </w:tr>
    </w:tbl>
    <w:p w14:paraId="38A7E89B">
      <w:pPr>
        <w:widowControl/>
        <w:adjustRightInd w:val="0"/>
        <w:snapToGrid w:val="0"/>
        <w:spacing w:line="560" w:lineRule="exact"/>
        <w:ind w:firstLine="482" w:firstLineChars="200"/>
        <w:outlineLvl w:val="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二、被担保人基本情况</w:t>
      </w:r>
    </w:p>
    <w:p w14:paraId="38C15805">
      <w:pPr>
        <w:pStyle w:val="16"/>
        <w:widowControl/>
        <w:numPr>
          <w:ilvl w:val="0"/>
          <w:numId w:val="3"/>
        </w:numPr>
        <w:adjustRightInd w:val="0"/>
        <w:snapToGrid w:val="0"/>
        <w:spacing w:line="560" w:lineRule="exact"/>
        <w:ind w:left="0" w:firstLine="480"/>
        <w:outlineLvl w:val="1"/>
        <w:rPr>
          <w:rFonts w:asciiTheme="minorEastAsia" w:hAnsiTheme="minorEastAsia" w:cstheme="minorEastAsia"/>
          <w:sz w:val="24"/>
          <w:szCs w:val="24"/>
        </w:rPr>
      </w:pPr>
      <w:r>
        <w:rPr>
          <w:rFonts w:hint="eastAsia" w:asciiTheme="minorEastAsia" w:hAnsiTheme="minorEastAsia" w:cstheme="minorEastAsia"/>
          <w:sz w:val="24"/>
          <w:szCs w:val="24"/>
        </w:rPr>
        <w:t>泸州步长</w:t>
      </w:r>
    </w:p>
    <w:tbl>
      <w:tblPr>
        <w:tblStyle w:val="10"/>
        <w:tblW w:w="5000" w:type="pct"/>
        <w:tblInd w:w="0" w:type="dxa"/>
        <w:tblLayout w:type="autofit"/>
        <w:tblCellMar>
          <w:top w:w="0" w:type="dxa"/>
          <w:left w:w="0" w:type="dxa"/>
          <w:bottom w:w="0" w:type="dxa"/>
          <w:right w:w="0" w:type="dxa"/>
        </w:tblCellMar>
      </w:tblPr>
      <w:tblGrid>
        <w:gridCol w:w="2512"/>
        <w:gridCol w:w="1655"/>
        <w:gridCol w:w="1985"/>
        <w:gridCol w:w="2266"/>
      </w:tblGrid>
      <w:tr w14:paraId="7FB95238">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C5A8537">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被担保人类型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92947EE">
            <w:pPr>
              <w:widowControl/>
              <w:adjustRightInd w:val="0"/>
              <w:snapToGrid w:val="0"/>
              <w:rPr>
                <w:rFonts w:asciiTheme="minorEastAsia" w:hAnsiTheme="minorEastAsia" w:cstheme="minorEastAsia"/>
                <w:color w:val="000000"/>
                <w:kern w:val="0"/>
                <w:sz w:val="24"/>
                <w:szCs w:val="24"/>
              </w:rPr>
            </w:pPr>
            <w:sdt>
              <w:sdtPr>
                <w:rPr>
                  <w:rFonts w:hint="eastAsia" w:asciiTheme="minorEastAsia" w:hAnsiTheme="minorEastAsia" w:cstheme="minorEastAsia"/>
                  <w:color w:val="000000"/>
                  <w:kern w:val="0"/>
                  <w:sz w:val="24"/>
                </w:rPr>
                <w:id w:val="147468584"/>
                <w:comboBox>
                  <w:listItem w:value="选择一项。"/>
                  <w:listItem w:displayText="法人" w:value="法人"/>
                  <w:listItem w:displayText="其他：____" w:value="其他：____"/>
                </w:comboBox>
              </w:sdtPr>
              <w:sdtEndPr>
                <w:rPr>
                  <w:rFonts w:hint="eastAsia" w:asciiTheme="minorEastAsia" w:hAnsiTheme="minorEastAsia" w:cstheme="minorEastAsia"/>
                  <w:color w:val="000000"/>
                  <w:kern w:val="0"/>
                  <w:sz w:val="24"/>
                </w:rPr>
              </w:sdtEndPr>
              <w:sdtContent>
                <w:r>
                  <w:rPr>
                    <w:rFonts w:hint="eastAsia" w:asciiTheme="minorEastAsia" w:hAnsiTheme="minorEastAsia" w:cstheme="minorEastAsia"/>
                    <w:color w:val="000000"/>
                    <w:kern w:val="0"/>
                    <w:sz w:val="24"/>
                  </w:rPr>
                  <w:t>法人</w:t>
                </w:r>
              </w:sdtContent>
            </w:sdt>
          </w:p>
        </w:tc>
      </w:tr>
      <w:tr w14:paraId="13DA07E3">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394299B">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被担保人名称</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60CCB24">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四川泸州步长生物制药有限公司</w:t>
            </w:r>
          </w:p>
        </w:tc>
      </w:tr>
      <w:tr w14:paraId="5B4A98BC">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E6D40D8">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被担保人类型及上市公司持股情况</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sdt>
            <w:sdtPr>
              <w:rPr>
                <w:rFonts w:hint="eastAsia" w:asciiTheme="minorEastAsia" w:hAnsiTheme="minorEastAsia" w:cstheme="minorEastAsia"/>
                <w:color w:val="000000"/>
                <w:sz w:val="24"/>
                <w:szCs w:val="24"/>
              </w:rPr>
              <w:id w:val="147451960"/>
              <w:comboBox>
                <w:listItem w:value="选择一项。"/>
                <w:listItem w:displayText="全资子公司" w:value="全资子公司"/>
                <w:listItem w:displayText="控股子公司" w:value="控股子公司"/>
                <w:listItem w:displayText="参股公司" w:value="参股公司"/>
                <w:listItem w:displayText="其他：____" w:value="其他：____"/>
              </w:comboBox>
            </w:sdtPr>
            <w:sdtEndPr>
              <w:rPr>
                <w:rFonts w:hint="eastAsia" w:asciiTheme="minorEastAsia" w:hAnsiTheme="minorEastAsia" w:cstheme="minorEastAsia"/>
                <w:color w:val="000000"/>
                <w:sz w:val="24"/>
                <w:szCs w:val="24"/>
              </w:rPr>
            </w:sdtEndPr>
            <w:sdtContent>
              <w:p w14:paraId="327F5E1F">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控股子公司</w:t>
                </w:r>
              </w:p>
            </w:sdtContent>
          </w:sdt>
        </w:tc>
      </w:tr>
      <w:tr w14:paraId="1BDD13A7">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7D25D74">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主要股东及持股比例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C582054">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泸州步长为公司控股子公司，公司持股97.9545%，海南祺泓盛企业管理合伙企业（有限合伙）持股2.0000%，王新持股0.0455%。</w:t>
            </w:r>
          </w:p>
        </w:tc>
      </w:tr>
      <w:tr w14:paraId="66646E4C">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B47BF0B">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法定代表人</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A78C68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杨春</w:t>
            </w:r>
          </w:p>
        </w:tc>
      </w:tr>
      <w:tr w14:paraId="2C8B97EE">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5E84A3A">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统一社会信用代码</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B746D2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91510521314511313L</w:t>
            </w:r>
          </w:p>
        </w:tc>
      </w:tr>
      <w:tr w14:paraId="6FB57E07">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250527E">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成立时间</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E7954C2">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2014年9月17日</w:t>
            </w:r>
          </w:p>
        </w:tc>
      </w:tr>
      <w:tr w14:paraId="3D3906B9">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0B0C470">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注册地</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86CB3C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四川省泸州市泸县康乐大道西段480号</w:t>
            </w:r>
          </w:p>
        </w:tc>
      </w:tr>
      <w:tr w14:paraId="345968B3">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FC3BA9A">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注册资本</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2DA8628">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肆亿肆仟万元整</w:t>
            </w:r>
          </w:p>
        </w:tc>
      </w:tr>
      <w:tr w14:paraId="67280328">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5126F65">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公司类型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F4863C4">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其他有限责任公司</w:t>
            </w:r>
          </w:p>
        </w:tc>
      </w:tr>
      <w:tr w14:paraId="25001A5C">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50E152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经营范围</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84DA002">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许可项目：药品生产；药品批发；药品进出口（依法须经批准的项目，经相关部门批准后方可开展经营活动,具体经营项目以相关部门批准文件或许可证件为准）一般项目：药品委托生产；技术服务、技术开发、技术咨询、技术交流、技术转让、技术推广；医学研究和试验发展（除依法须经批准的项目外，凭营业执照依法自主开展经营活动）。</w:t>
            </w:r>
          </w:p>
        </w:tc>
      </w:tr>
      <w:tr w14:paraId="3E55522F">
        <w:tblPrEx>
          <w:tblCellMar>
            <w:top w:w="0" w:type="dxa"/>
            <w:left w:w="0" w:type="dxa"/>
            <w:bottom w:w="0" w:type="dxa"/>
            <w:right w:w="0" w:type="dxa"/>
          </w:tblCellMar>
        </w:tblPrEx>
        <w:tc>
          <w:tcPr>
            <w:tcW w:w="2512" w:type="dxa"/>
            <w:vMerge w:val="restart"/>
            <w:tcBorders>
              <w:top w:val="single" w:color="4D4D4D" w:sz="4" w:space="0"/>
              <w:left w:val="single" w:color="4D4D4D" w:sz="4" w:space="0"/>
              <w:right w:val="single" w:color="4D4D4D" w:sz="4" w:space="0"/>
            </w:tcBorders>
            <w:tcMar>
              <w:top w:w="56" w:type="dxa"/>
              <w:left w:w="56" w:type="dxa"/>
              <w:bottom w:w="56" w:type="dxa"/>
              <w:right w:w="56" w:type="dxa"/>
            </w:tcMar>
            <w:vAlign w:val="center"/>
          </w:tcPr>
          <w:p w14:paraId="100006A7">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主要财务指标（万元）</w:t>
            </w: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C0BF63A">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项目</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1F20CCD">
            <w:pPr>
              <w:widowControl/>
              <w:adjustRightInd w:val="0"/>
              <w:snapToGrid w:val="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2025年9月30日/2025年1-9月（未经审计）</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DE1E685">
            <w:pPr>
              <w:widowControl/>
              <w:adjustRightInd w:val="0"/>
              <w:snapToGrid w:val="0"/>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2024年12月31日/2024年度（经审计）</w:t>
            </w:r>
          </w:p>
        </w:tc>
      </w:tr>
      <w:tr w14:paraId="77A65512">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6A3EB50E">
            <w:pPr>
              <w:widowControl/>
              <w:adjustRightInd w:val="0"/>
              <w:snapToGrid w:val="0"/>
              <w:rPr>
                <w:rFonts w:asciiTheme="minorEastAsia" w:hAnsiTheme="minorEastAsia" w:cstheme="minorEastAsia"/>
                <w:color w:val="000000"/>
                <w:kern w:val="0"/>
                <w:sz w:val="24"/>
                <w:szCs w:val="24"/>
              </w:rPr>
            </w:pP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2B4CE14">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资产总额</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D528FA2">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235</w:t>
            </w:r>
            <w:r>
              <w:rPr>
                <w:rFonts w:hint="eastAsia" w:asciiTheme="minorEastAsia" w:hAnsiTheme="minorEastAsia" w:cstheme="minorEastAsia"/>
                <w:color w:val="000000"/>
                <w:kern w:val="0"/>
                <w:sz w:val="24"/>
                <w:szCs w:val="24"/>
                <w:lang w:val="en-US" w:eastAsia="zh-CN"/>
              </w:rPr>
              <w:t>,</w:t>
            </w:r>
            <w:r>
              <w:rPr>
                <w:rFonts w:asciiTheme="minorEastAsia" w:hAnsiTheme="minorEastAsia" w:cstheme="minorEastAsia"/>
                <w:color w:val="000000"/>
                <w:kern w:val="0"/>
                <w:sz w:val="24"/>
                <w:szCs w:val="24"/>
              </w:rPr>
              <w:t>841.47</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35D26CD">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222,315.29</w:t>
            </w:r>
          </w:p>
        </w:tc>
      </w:tr>
      <w:tr w14:paraId="2B986AD8">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431A8222">
            <w:pPr>
              <w:widowControl/>
              <w:adjustRightInd w:val="0"/>
              <w:snapToGrid w:val="0"/>
              <w:rPr>
                <w:rFonts w:asciiTheme="minorEastAsia" w:hAnsiTheme="minorEastAsia" w:cstheme="minorEastAsia"/>
                <w:color w:val="000000"/>
                <w:kern w:val="0"/>
                <w:sz w:val="24"/>
                <w:szCs w:val="24"/>
              </w:rPr>
            </w:pP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AFF3016">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负债总额</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AE49EBF">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215</w:t>
            </w:r>
            <w:r>
              <w:rPr>
                <w:rFonts w:hint="eastAsia" w:asciiTheme="minorEastAsia" w:hAnsiTheme="minorEastAsia" w:cstheme="minorEastAsia"/>
                <w:color w:val="000000"/>
                <w:kern w:val="0"/>
                <w:sz w:val="24"/>
                <w:szCs w:val="24"/>
                <w:lang w:val="en-US" w:eastAsia="zh-CN"/>
              </w:rPr>
              <w:t>,</w:t>
            </w:r>
            <w:r>
              <w:rPr>
                <w:rFonts w:asciiTheme="minorEastAsia" w:hAnsiTheme="minorEastAsia" w:cstheme="minorEastAsia"/>
                <w:color w:val="000000"/>
                <w:kern w:val="0"/>
                <w:sz w:val="24"/>
                <w:szCs w:val="24"/>
              </w:rPr>
              <w:t>403.25</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FAAEED0">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199,976.51</w:t>
            </w:r>
          </w:p>
        </w:tc>
      </w:tr>
      <w:tr w14:paraId="3AE0150A">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1147ACAD">
            <w:pPr>
              <w:widowControl/>
              <w:adjustRightInd w:val="0"/>
              <w:snapToGrid w:val="0"/>
              <w:rPr>
                <w:rFonts w:asciiTheme="minorEastAsia" w:hAnsiTheme="minorEastAsia" w:cstheme="minorEastAsia"/>
                <w:color w:val="000000"/>
                <w:kern w:val="0"/>
                <w:sz w:val="24"/>
                <w:szCs w:val="24"/>
              </w:rPr>
            </w:pP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5B811EA">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资产净额</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193DFCE">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20</w:t>
            </w:r>
            <w:r>
              <w:rPr>
                <w:rFonts w:hint="eastAsia" w:asciiTheme="minorEastAsia" w:hAnsiTheme="minorEastAsia" w:cstheme="minorEastAsia"/>
                <w:color w:val="000000"/>
                <w:kern w:val="0"/>
                <w:sz w:val="24"/>
                <w:szCs w:val="24"/>
                <w:lang w:val="en-US" w:eastAsia="zh-CN"/>
              </w:rPr>
              <w:t>,</w:t>
            </w:r>
            <w:r>
              <w:rPr>
                <w:rFonts w:asciiTheme="minorEastAsia" w:hAnsiTheme="minorEastAsia" w:cstheme="minorEastAsia"/>
                <w:color w:val="000000"/>
                <w:kern w:val="0"/>
                <w:sz w:val="24"/>
                <w:szCs w:val="24"/>
              </w:rPr>
              <w:t>438.22</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0FD923E">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22,338.78</w:t>
            </w:r>
          </w:p>
        </w:tc>
      </w:tr>
      <w:tr w14:paraId="41EFD1C4">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4193EEAC">
            <w:pPr>
              <w:widowControl/>
              <w:adjustRightInd w:val="0"/>
              <w:snapToGrid w:val="0"/>
              <w:rPr>
                <w:rFonts w:asciiTheme="minorEastAsia" w:hAnsiTheme="minorEastAsia" w:cstheme="minorEastAsia"/>
                <w:color w:val="000000"/>
                <w:kern w:val="0"/>
                <w:sz w:val="24"/>
                <w:szCs w:val="24"/>
              </w:rPr>
            </w:pP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33809F5">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营业收入</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7E2F529">
            <w:pPr>
              <w:widowControl/>
              <w:adjustRightInd w:val="0"/>
              <w:snapToGrid w:val="0"/>
              <w:jc w:val="righ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1,817.12</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8E41B15">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4.71</w:t>
            </w:r>
          </w:p>
        </w:tc>
      </w:tr>
      <w:tr w14:paraId="4321B9FB">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284F1D94">
            <w:pPr>
              <w:widowControl/>
              <w:adjustRightInd w:val="0"/>
              <w:snapToGrid w:val="0"/>
              <w:rPr>
                <w:rFonts w:asciiTheme="minorEastAsia" w:hAnsiTheme="minorEastAsia" w:cstheme="minorEastAsia"/>
                <w:color w:val="000000"/>
                <w:kern w:val="0"/>
                <w:sz w:val="24"/>
                <w:szCs w:val="24"/>
              </w:rPr>
            </w:pP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E2E7447">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净利润</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72FCCDD">
            <w:pPr>
              <w:widowControl/>
              <w:adjustRightInd w:val="0"/>
              <w:snapToGrid w:val="0"/>
              <w:jc w:val="righ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-1,900.57</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FD32AE7">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-1,624.40</w:t>
            </w:r>
          </w:p>
        </w:tc>
      </w:tr>
      <w:tr w14:paraId="0B02E90A">
        <w:tblPrEx>
          <w:tblCellMar>
            <w:top w:w="0" w:type="dxa"/>
            <w:left w:w="0" w:type="dxa"/>
            <w:bottom w:w="0" w:type="dxa"/>
            <w:right w:w="0" w:type="dxa"/>
          </w:tblCellMar>
        </w:tblPrEx>
        <w:tc>
          <w:tcPr>
            <w:tcW w:w="2512" w:type="dxa"/>
            <w:vMerge w:val="continue"/>
            <w:tcBorders>
              <w:left w:val="single" w:color="4D4D4D" w:sz="4" w:space="0"/>
              <w:bottom w:val="single" w:color="4D4D4D" w:sz="4" w:space="0"/>
              <w:right w:val="single" w:color="4D4D4D" w:sz="4" w:space="0"/>
            </w:tcBorders>
            <w:tcMar>
              <w:top w:w="56" w:type="dxa"/>
              <w:left w:w="56" w:type="dxa"/>
              <w:bottom w:w="56" w:type="dxa"/>
              <w:right w:w="56" w:type="dxa"/>
            </w:tcMar>
            <w:vAlign w:val="center"/>
          </w:tcPr>
          <w:p w14:paraId="120A2A53">
            <w:pPr>
              <w:widowControl/>
              <w:adjustRightInd w:val="0"/>
              <w:snapToGrid w:val="0"/>
              <w:rPr>
                <w:rFonts w:asciiTheme="minorEastAsia" w:hAnsiTheme="minorEastAsia" w:cstheme="minorEastAsia"/>
                <w:color w:val="000000"/>
                <w:kern w:val="0"/>
                <w:sz w:val="24"/>
                <w:szCs w:val="24"/>
              </w:rPr>
            </w:pPr>
          </w:p>
        </w:tc>
        <w:tc>
          <w:tcPr>
            <w:tcW w:w="165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B065D3D">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资产负债率</w:t>
            </w:r>
          </w:p>
        </w:tc>
        <w:tc>
          <w:tcPr>
            <w:tcW w:w="1985"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E33B1A5">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9</w:t>
            </w:r>
            <w:r>
              <w:rPr>
                <w:rFonts w:asciiTheme="minorEastAsia" w:hAnsiTheme="minorEastAsia" w:cstheme="minorEastAsia"/>
                <w:color w:val="000000"/>
                <w:kern w:val="0"/>
                <w:sz w:val="24"/>
                <w:szCs w:val="24"/>
              </w:rPr>
              <w:t>1.33%</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032E188">
            <w:pPr>
              <w:widowControl/>
              <w:adjustRightInd w:val="0"/>
              <w:snapToGrid w:val="0"/>
              <w:jc w:val="right"/>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89.95%</w:t>
            </w:r>
          </w:p>
        </w:tc>
      </w:tr>
    </w:tbl>
    <w:p w14:paraId="31D1B117">
      <w:pPr>
        <w:pStyle w:val="16"/>
        <w:widowControl/>
        <w:numPr>
          <w:ilvl w:val="0"/>
          <w:numId w:val="3"/>
        </w:numPr>
        <w:adjustRightInd w:val="0"/>
        <w:snapToGrid w:val="0"/>
        <w:spacing w:line="560" w:lineRule="exact"/>
        <w:ind w:left="0" w:firstLine="480"/>
        <w:outlineLvl w:val="1"/>
        <w:rPr>
          <w:rFonts w:asciiTheme="minorEastAsia" w:hAnsiTheme="minorEastAsia" w:cstheme="minorEastAsia"/>
          <w:sz w:val="24"/>
          <w:szCs w:val="24"/>
        </w:rPr>
      </w:pPr>
      <w:r>
        <w:rPr>
          <w:rFonts w:hint="eastAsia" w:asciiTheme="minorEastAsia" w:hAnsiTheme="minorEastAsia" w:cstheme="minorEastAsia"/>
          <w:sz w:val="24"/>
          <w:szCs w:val="24"/>
        </w:rPr>
        <w:t>博源润步</w:t>
      </w:r>
    </w:p>
    <w:tbl>
      <w:tblPr>
        <w:tblStyle w:val="10"/>
        <w:tblW w:w="5000" w:type="pct"/>
        <w:tblInd w:w="0" w:type="dxa"/>
        <w:tblLayout w:type="autofit"/>
        <w:tblCellMar>
          <w:top w:w="0" w:type="dxa"/>
          <w:left w:w="0" w:type="dxa"/>
          <w:bottom w:w="0" w:type="dxa"/>
          <w:right w:w="0" w:type="dxa"/>
        </w:tblCellMar>
      </w:tblPr>
      <w:tblGrid>
        <w:gridCol w:w="2512"/>
        <w:gridCol w:w="1513"/>
        <w:gridCol w:w="2127"/>
        <w:gridCol w:w="2266"/>
      </w:tblGrid>
      <w:tr w14:paraId="6E1E264A">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CD73239">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被担保人类型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89DBE9B">
            <w:pPr>
              <w:widowControl/>
              <w:adjustRightInd w:val="0"/>
              <w:snapToGrid w:val="0"/>
              <w:rPr>
                <w:rFonts w:asciiTheme="minorEastAsia" w:hAnsiTheme="minorEastAsia" w:cstheme="minorEastAsia"/>
                <w:color w:val="000000"/>
                <w:kern w:val="0"/>
                <w:sz w:val="24"/>
                <w:szCs w:val="24"/>
              </w:rPr>
            </w:pPr>
            <w:sdt>
              <w:sdtPr>
                <w:rPr>
                  <w:rFonts w:hint="eastAsia" w:asciiTheme="minorEastAsia" w:hAnsiTheme="minorEastAsia" w:cstheme="minorEastAsia"/>
                  <w:color w:val="000000"/>
                  <w:kern w:val="0"/>
                  <w:sz w:val="24"/>
                </w:rPr>
                <w:id w:val="147455513"/>
                <w:comboBox>
                  <w:listItem w:value="选择一项。"/>
                  <w:listItem w:displayText="法人" w:value="法人"/>
                  <w:listItem w:displayText="其他：____" w:value="其他：____"/>
                </w:comboBox>
              </w:sdtPr>
              <w:sdtEndPr>
                <w:rPr>
                  <w:rFonts w:hint="eastAsia" w:asciiTheme="minorEastAsia" w:hAnsiTheme="minorEastAsia" w:cstheme="minorEastAsia"/>
                  <w:color w:val="000000"/>
                  <w:kern w:val="0"/>
                  <w:sz w:val="24"/>
                </w:rPr>
              </w:sdtEndPr>
              <w:sdtContent>
                <w:r>
                  <w:rPr>
                    <w:rFonts w:hint="eastAsia" w:asciiTheme="minorEastAsia" w:hAnsiTheme="minorEastAsia" w:cstheme="minorEastAsia"/>
                    <w:color w:val="000000"/>
                    <w:kern w:val="0"/>
                    <w:sz w:val="24"/>
                  </w:rPr>
                  <w:t>法人</w:t>
                </w:r>
              </w:sdtContent>
            </w:sdt>
          </w:p>
        </w:tc>
      </w:tr>
      <w:tr w14:paraId="43CAFC50">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7FAC678">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被担保人名称</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45C3D22">
            <w:pPr>
              <w:widowControl/>
              <w:adjustRightInd w:val="0"/>
              <w:snapToGrid w:val="0"/>
              <w:rPr>
                <w:rFonts w:asciiTheme="minorEastAsia" w:hAnsiTheme="minorEastAsia" w:cstheme="minorEastAsia"/>
                <w:color w:val="000000"/>
                <w:kern w:val="0"/>
                <w:sz w:val="24"/>
                <w:szCs w:val="24"/>
              </w:rPr>
            </w:pPr>
            <w:bookmarkStart w:id="3" w:name="OLE_LINK5"/>
            <w:bookmarkStart w:id="4" w:name="OLE_LINK4"/>
            <w:r>
              <w:rPr>
                <w:rFonts w:hint="eastAsia" w:asciiTheme="minorEastAsia" w:hAnsiTheme="minorEastAsia" w:cstheme="minorEastAsia"/>
                <w:color w:val="000000"/>
                <w:kern w:val="0"/>
                <w:sz w:val="24"/>
                <w:szCs w:val="24"/>
              </w:rPr>
              <w:t>北京博源润步医药研发有限公司</w:t>
            </w:r>
            <w:bookmarkEnd w:id="3"/>
            <w:bookmarkEnd w:id="4"/>
          </w:p>
        </w:tc>
      </w:tr>
      <w:tr w14:paraId="3A880C8D">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37F0F5F">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被担保人类型及上市公司持股情况</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sdt>
            <w:sdtPr>
              <w:rPr>
                <w:rFonts w:hint="eastAsia" w:asciiTheme="minorEastAsia" w:hAnsiTheme="minorEastAsia" w:cstheme="minorEastAsia"/>
                <w:color w:val="000000"/>
                <w:sz w:val="24"/>
                <w:szCs w:val="24"/>
              </w:rPr>
              <w:id w:val="147473125"/>
              <w:comboBox>
                <w:listItem w:value="选择一项。"/>
                <w:listItem w:displayText="全资子公司" w:value="全资子公司"/>
                <w:listItem w:displayText="控股子公司" w:value="控股子公司"/>
                <w:listItem w:displayText="参股公司" w:value="参股公司"/>
                <w:listItem w:displayText="其他：____" w:value="其他：____"/>
              </w:comboBox>
            </w:sdtPr>
            <w:sdtEndPr>
              <w:rPr>
                <w:rFonts w:hint="eastAsia" w:asciiTheme="minorEastAsia" w:hAnsiTheme="minorEastAsia" w:cstheme="minorEastAsia"/>
                <w:color w:val="000000"/>
                <w:sz w:val="24"/>
                <w:szCs w:val="24"/>
              </w:rPr>
            </w:sdtEndPr>
            <w:sdtContent>
              <w:p w14:paraId="3EC2B0C5">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控股子公司</w:t>
                </w:r>
              </w:p>
            </w:sdtContent>
          </w:sdt>
        </w:tc>
      </w:tr>
      <w:tr w14:paraId="2B4D3478">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7FD9547">
            <w:pPr>
              <w:widowControl/>
              <w:adjustRightInd w:val="0"/>
              <w:snapToGri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主要股东及持股比例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9B9052C">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公司控股子公司泸州步长持股100%</w:t>
            </w:r>
          </w:p>
        </w:tc>
      </w:tr>
      <w:tr w14:paraId="47F54E5F">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C3549F0">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法定代表人</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3A39894">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杨春</w:t>
            </w:r>
          </w:p>
        </w:tc>
      </w:tr>
      <w:tr w14:paraId="177AE695">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F6B7E17">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统一社会信用代码</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DE086E6">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91110400MADJ4JFK0Y</w:t>
            </w:r>
          </w:p>
        </w:tc>
      </w:tr>
      <w:tr w14:paraId="341B26ED">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35EF908">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成立时间</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572E9D6">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2024年04月19日</w:t>
            </w:r>
          </w:p>
        </w:tc>
      </w:tr>
      <w:tr w14:paraId="17C818EF">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5AC4C6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注册地</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B2344F1">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北京市北京经济技术开发区永昌北路3号3幢4层8406B单元</w:t>
            </w:r>
          </w:p>
        </w:tc>
      </w:tr>
      <w:tr w14:paraId="1746D7FB">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96AE815">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注册资本</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2AA245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人民币2,500万元</w:t>
            </w:r>
          </w:p>
        </w:tc>
      </w:tr>
      <w:tr w14:paraId="7BF7DE83">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20ED97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公司类型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65EC302">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有限责任公司(法人独资)</w:t>
            </w:r>
          </w:p>
        </w:tc>
      </w:tr>
      <w:tr w14:paraId="55510071">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B2B4FA9">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经营范围</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0AED7BD">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一般项目：医学研究和试验发展；技术服务、技术开发、</w:t>
            </w:r>
          </w:p>
          <w:p w14:paraId="78CC28F9">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技术咨询、技术交流、技术转让、技术推广。(除依法须</w:t>
            </w:r>
          </w:p>
          <w:p w14:paraId="5837B57F">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经批准的项目外，凭营业执照依法自主开展经营活动)(不得从事国家和本市产业政策禁止和限制类项目的</w:t>
            </w:r>
          </w:p>
          <w:p w14:paraId="540DA7FD">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经营活动。)</w:t>
            </w:r>
          </w:p>
        </w:tc>
      </w:tr>
      <w:tr w14:paraId="65246882">
        <w:tblPrEx>
          <w:tblCellMar>
            <w:top w:w="0" w:type="dxa"/>
            <w:left w:w="0" w:type="dxa"/>
            <w:bottom w:w="0" w:type="dxa"/>
            <w:right w:w="0" w:type="dxa"/>
          </w:tblCellMar>
        </w:tblPrEx>
        <w:tc>
          <w:tcPr>
            <w:tcW w:w="2512" w:type="dxa"/>
            <w:vMerge w:val="restart"/>
            <w:tcBorders>
              <w:top w:val="single" w:color="auto" w:sz="4" w:space="0"/>
              <w:left w:val="single" w:color="auto" w:sz="4" w:space="0"/>
              <w:bottom w:val="single" w:color="auto" w:sz="4" w:space="0"/>
              <w:right w:val="single" w:color="auto" w:sz="4" w:space="0"/>
            </w:tcBorders>
            <w:tcMar>
              <w:top w:w="56" w:type="dxa"/>
              <w:left w:w="56" w:type="dxa"/>
              <w:bottom w:w="56" w:type="dxa"/>
              <w:right w:w="56" w:type="dxa"/>
            </w:tcMar>
            <w:vAlign w:val="center"/>
          </w:tcPr>
          <w:p w14:paraId="2B7E15A5">
            <w:pPr>
              <w:widowControl/>
              <w:adjustRightInd w:val="0"/>
              <w:snapToGrid w:val="0"/>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主要财务指标（万元）</w:t>
            </w:r>
          </w:p>
        </w:tc>
        <w:tc>
          <w:tcPr>
            <w:tcW w:w="1513" w:type="dxa"/>
            <w:tcBorders>
              <w:top w:val="single" w:color="auto" w:sz="4" w:space="0"/>
              <w:left w:val="single" w:color="auto" w:sz="4" w:space="0"/>
              <w:bottom w:val="single" w:color="auto" w:sz="4" w:space="0"/>
              <w:right w:val="single" w:color="auto" w:sz="4" w:space="0"/>
            </w:tcBorders>
            <w:tcMar>
              <w:top w:w="56" w:type="dxa"/>
              <w:left w:w="56" w:type="dxa"/>
              <w:bottom w:w="56" w:type="dxa"/>
              <w:right w:w="56" w:type="dxa"/>
            </w:tcMar>
            <w:vAlign w:val="center"/>
          </w:tcPr>
          <w:p w14:paraId="77BB8D71">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项目</w:t>
            </w:r>
          </w:p>
        </w:tc>
        <w:tc>
          <w:tcPr>
            <w:tcW w:w="2127" w:type="dxa"/>
            <w:tcBorders>
              <w:top w:val="single" w:color="4D4D4D" w:sz="4" w:space="0"/>
              <w:left w:val="single" w:color="auto" w:sz="4" w:space="0"/>
              <w:bottom w:val="single" w:color="4D4D4D" w:sz="4" w:space="0"/>
              <w:right w:val="single" w:color="4D4D4D" w:sz="4" w:space="0"/>
            </w:tcBorders>
            <w:tcMar>
              <w:top w:w="56" w:type="dxa"/>
              <w:left w:w="56" w:type="dxa"/>
              <w:bottom w:w="56" w:type="dxa"/>
              <w:right w:w="56" w:type="dxa"/>
            </w:tcMar>
            <w:vAlign w:val="center"/>
          </w:tcPr>
          <w:p w14:paraId="045DB751">
            <w:pPr>
              <w:widowControl/>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2025年9月30日/2025年1-9月（未经审计）</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47C9711">
            <w:pPr>
              <w:widowControl/>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2024年12月31日/2024年度（经审计）</w:t>
            </w:r>
          </w:p>
        </w:tc>
      </w:tr>
      <w:tr w14:paraId="692324B2">
        <w:tblPrEx>
          <w:tblCellMar>
            <w:top w:w="0" w:type="dxa"/>
            <w:left w:w="0" w:type="dxa"/>
            <w:bottom w:w="0" w:type="dxa"/>
            <w:right w:w="0" w:type="dxa"/>
          </w:tblCellMar>
        </w:tblPrEx>
        <w:tc>
          <w:tcPr>
            <w:tcW w:w="2512" w:type="dxa"/>
            <w:vMerge w:val="continue"/>
            <w:tcBorders>
              <w:top w:val="single" w:color="auto" w:sz="4" w:space="0"/>
              <w:left w:val="single" w:color="4D4D4D" w:sz="4" w:space="0"/>
              <w:right w:val="single" w:color="4D4D4D" w:sz="4" w:space="0"/>
            </w:tcBorders>
            <w:tcMar>
              <w:top w:w="56" w:type="dxa"/>
              <w:left w:w="56" w:type="dxa"/>
              <w:bottom w:w="56" w:type="dxa"/>
              <w:right w:w="56" w:type="dxa"/>
            </w:tcMar>
            <w:vAlign w:val="center"/>
          </w:tcPr>
          <w:p w14:paraId="009D61CE">
            <w:pPr>
              <w:widowControl/>
              <w:adjustRightInd w:val="0"/>
              <w:snapToGrid w:val="0"/>
              <w:rPr>
                <w:rFonts w:asciiTheme="minorEastAsia" w:hAnsiTheme="minorEastAsia" w:cstheme="minorEastAsia"/>
                <w:color w:val="000000"/>
                <w:kern w:val="0"/>
                <w:sz w:val="24"/>
                <w:szCs w:val="24"/>
              </w:rPr>
            </w:pPr>
          </w:p>
        </w:tc>
        <w:tc>
          <w:tcPr>
            <w:tcW w:w="1513" w:type="dxa"/>
            <w:tcBorders>
              <w:top w:val="single" w:color="auto"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438C698">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资产总额</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C8C4BCD">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2,911.36</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7225749">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1,815.76</w:t>
            </w:r>
          </w:p>
        </w:tc>
      </w:tr>
      <w:tr w14:paraId="218FC72B">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43A3DCC8">
            <w:pPr>
              <w:widowControl/>
              <w:adjustRightInd w:val="0"/>
              <w:snapToGrid w:val="0"/>
              <w:rPr>
                <w:rFonts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552C993">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负债总额</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2DB12FE">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2,652.10</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F3CB93E">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1,798.92</w:t>
            </w:r>
          </w:p>
        </w:tc>
      </w:tr>
      <w:tr w14:paraId="26E23103">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6A8C6F93">
            <w:pPr>
              <w:widowControl/>
              <w:adjustRightInd w:val="0"/>
              <w:snapToGrid w:val="0"/>
              <w:rPr>
                <w:rFonts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2DCB886">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资产净额</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4648D06">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259.26</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EAB0718">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16.84</w:t>
            </w:r>
          </w:p>
        </w:tc>
      </w:tr>
      <w:tr w14:paraId="6CD044DD">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28BD4338">
            <w:pPr>
              <w:widowControl/>
              <w:adjustRightInd w:val="0"/>
              <w:snapToGrid w:val="0"/>
              <w:rPr>
                <w:rFonts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4899FB0">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营业收入</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AA50EF6">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5,603.77</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3295C58">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1,092.45</w:t>
            </w:r>
          </w:p>
        </w:tc>
      </w:tr>
      <w:tr w14:paraId="73361756">
        <w:tblPrEx>
          <w:tblCellMar>
            <w:top w:w="0" w:type="dxa"/>
            <w:left w:w="0" w:type="dxa"/>
            <w:bottom w:w="0" w:type="dxa"/>
            <w:right w:w="0" w:type="dxa"/>
          </w:tblCellMar>
        </w:tblPrEx>
        <w:tc>
          <w:tcPr>
            <w:tcW w:w="2512" w:type="dxa"/>
            <w:vMerge w:val="continue"/>
            <w:tcBorders>
              <w:left w:val="single" w:color="4D4D4D" w:sz="4" w:space="0"/>
              <w:right w:val="single" w:color="4D4D4D" w:sz="4" w:space="0"/>
            </w:tcBorders>
            <w:tcMar>
              <w:top w:w="56" w:type="dxa"/>
              <w:left w:w="56" w:type="dxa"/>
              <w:bottom w:w="56" w:type="dxa"/>
              <w:right w:w="56" w:type="dxa"/>
            </w:tcMar>
            <w:vAlign w:val="center"/>
          </w:tcPr>
          <w:p w14:paraId="2D467200">
            <w:pPr>
              <w:widowControl/>
              <w:adjustRightInd w:val="0"/>
              <w:snapToGrid w:val="0"/>
              <w:rPr>
                <w:rFonts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7AE62B1">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净利润</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AB5BDC8">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242.42</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5B84A7E">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16.84</w:t>
            </w:r>
          </w:p>
        </w:tc>
      </w:tr>
      <w:tr w14:paraId="4E07214E">
        <w:tblPrEx>
          <w:tblCellMar>
            <w:top w:w="0" w:type="dxa"/>
            <w:left w:w="0" w:type="dxa"/>
            <w:bottom w:w="0" w:type="dxa"/>
            <w:right w:w="0" w:type="dxa"/>
          </w:tblCellMar>
        </w:tblPrEx>
        <w:tc>
          <w:tcPr>
            <w:tcW w:w="2512" w:type="dxa"/>
            <w:vMerge w:val="continue"/>
            <w:tcBorders>
              <w:left w:val="single" w:color="4D4D4D" w:sz="4" w:space="0"/>
              <w:bottom w:val="single" w:color="4D4D4D" w:sz="4" w:space="0"/>
              <w:right w:val="single" w:color="4D4D4D" w:sz="4" w:space="0"/>
            </w:tcBorders>
            <w:tcMar>
              <w:top w:w="56" w:type="dxa"/>
              <w:left w:w="56" w:type="dxa"/>
              <w:bottom w:w="56" w:type="dxa"/>
              <w:right w:w="56" w:type="dxa"/>
            </w:tcMar>
            <w:vAlign w:val="center"/>
          </w:tcPr>
          <w:p w14:paraId="124394D7">
            <w:pPr>
              <w:widowControl/>
              <w:adjustRightInd w:val="0"/>
              <w:snapToGrid w:val="0"/>
              <w:rPr>
                <w:rFonts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2ADCC88">
            <w:pPr>
              <w:widowControl/>
              <w:adjustRightInd w:val="0"/>
              <w:snapToGrid w:val="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资产负债率</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7BEFADF">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91.09%</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9C34F6E">
            <w:pPr>
              <w:widowControl/>
              <w:adjustRightInd w:val="0"/>
              <w:snapToGrid w:val="0"/>
              <w:jc w:val="righ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99.07%</w:t>
            </w:r>
          </w:p>
        </w:tc>
      </w:tr>
    </w:tbl>
    <w:p w14:paraId="11359B91">
      <w:pPr>
        <w:widowControl/>
        <w:adjustRightInd w:val="0"/>
        <w:snapToGrid w:val="0"/>
        <w:spacing w:line="560" w:lineRule="exact"/>
        <w:ind w:firstLine="482" w:firstLineChars="200"/>
        <w:outlineLvl w:val="0"/>
        <w:rPr>
          <w:rFonts w:asciiTheme="minorEastAsia" w:hAnsiTheme="minorEastAsia" w:cstheme="minorEastAsia"/>
          <w:b/>
          <w:bCs/>
          <w:sz w:val="24"/>
          <w:szCs w:val="24"/>
        </w:rPr>
      </w:pPr>
      <w:r>
        <w:rPr>
          <w:rFonts w:hint="eastAsia" w:asciiTheme="minorEastAsia" w:hAnsiTheme="minorEastAsia" w:cstheme="minorEastAsia"/>
          <w:b/>
          <w:bCs/>
          <w:sz w:val="24"/>
          <w:szCs w:val="24"/>
        </w:rPr>
        <w:t>三、担保协议的主要内容</w:t>
      </w:r>
    </w:p>
    <w:p w14:paraId="14A3AD1C">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（一）《保证合同》</w:t>
      </w:r>
    </w:p>
    <w:p w14:paraId="56C46149">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公司（保证人）为泸州步长（债务人）与工商银行泸县支行（债权人）签订的《固定资产借款合同》提供70,000万元连带责任保证。</w:t>
      </w:r>
    </w:p>
    <w:p w14:paraId="225A9155">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1、保证方式：连带责任保证</w:t>
      </w:r>
    </w:p>
    <w:p w14:paraId="3EEB442C">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2、</w:t>
      </w:r>
      <w:r>
        <w:rPr>
          <w:rFonts w:hint="eastAsia" w:asciiTheme="minorEastAsia" w:hAnsiTheme="minorEastAsia"/>
          <w:color w:val="000000"/>
          <w:kern w:val="0"/>
          <w:sz w:val="24"/>
          <w:szCs w:val="24"/>
          <w:lang w:val="en-US" w:eastAsia="zh-CN"/>
        </w:rPr>
        <w:t>保证</w:t>
      </w:r>
      <w:r>
        <w:rPr>
          <w:rFonts w:hint="eastAsia" w:asciiTheme="minorEastAsia" w:hAnsiTheme="minorEastAsia"/>
          <w:color w:val="000000"/>
          <w:kern w:val="0"/>
          <w:sz w:val="24"/>
          <w:szCs w:val="24"/>
        </w:rPr>
        <w:t>范围：</w:t>
      </w:r>
    </w:p>
    <w:p w14:paraId="20860C9E">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公司保证担保的范围包括主债权本金(包括贵金属租借债权本金及其按贵金属租借合同的约定折算而成的人民币金额)、利息、贵金属租借费与个性化服务费、复利、罚息、违约金、损害赔偿金、贵金属租借重量溢短费、汇率损失(因汇率变动引起的相关损失)、因贵金属价格变动引起的相关损失、贵金属租借合同借出方根据主合同约定行使相应权利所产生的交易费等费用以及实现债权的费用(包括但不限于诉讼费、律师费等)。</w:t>
      </w:r>
    </w:p>
    <w:p w14:paraId="1EEB8C25">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3、保证期间：</w:t>
      </w:r>
    </w:p>
    <w:p w14:paraId="5D46C958">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若主合同为借款合同或贵金属租借合同，则本合同项下的保证期间为:自主合同项下的借款期限或贵金属租借期限届满之次日起三年；工商银行泸县支行根据主合同之约定宣布借款或贵金属租借提前到期的，则保证期间为借款或贵金属租借提前到期日之次日起三年。</w:t>
      </w:r>
    </w:p>
    <w:p w14:paraId="297FCB7C">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若主合同为银行承兑协议，则保证期间为自工商银行泸县支行对外承付之次日起三年。若主合同为开立担保协议，则保证期间为自工商银行泸县支行履行担保义务之次日起三年。若主合同为信用证开证协议/合同，则保证期间为自工商银行泸县支行支付信用证项下款项之次日起三年。若主合同为其他融资文件的，则保证期间自主合同确定的债权到期或提前到期之次日起三年。</w:t>
      </w:r>
    </w:p>
    <w:p w14:paraId="127CF3D4">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4、抵押物：</w:t>
      </w:r>
      <w:r>
        <w:rPr>
          <w:rFonts w:hint="eastAsia" w:asciiTheme="minorEastAsia" w:hAnsiTheme="minorEastAsia"/>
          <w:color w:val="auto"/>
          <w:kern w:val="0"/>
          <w:sz w:val="24"/>
          <w:szCs w:val="24"/>
          <w:highlight w:val="none"/>
        </w:rPr>
        <w:t>泸州步长名下固定资产</w:t>
      </w:r>
      <w:r>
        <w:rPr>
          <w:rFonts w:hint="eastAsia" w:asciiTheme="minorEastAsia" w:hAnsiTheme="minorEastAsia"/>
          <w:color w:val="000000"/>
          <w:kern w:val="0"/>
          <w:sz w:val="24"/>
          <w:szCs w:val="24"/>
        </w:rPr>
        <w:t>，评估价值为24,000万元。</w:t>
      </w:r>
    </w:p>
    <w:p w14:paraId="4CB19FEA">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（二）《最高额保证合同》</w:t>
      </w:r>
      <w:bookmarkStart w:id="5" w:name="_GoBack"/>
      <w:bookmarkEnd w:id="5"/>
    </w:p>
    <w:p w14:paraId="5EB073FB">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公司（保证人）为博源润步（债务人）与兴业银行北京自贸试验区高端产业片区支行（债权人）签订的《额度授信合同》提供3,000万元连带责任保证。</w:t>
      </w:r>
    </w:p>
    <w:p w14:paraId="67E29B40">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1、保证方式：连带责任保证</w:t>
      </w:r>
    </w:p>
    <w:p w14:paraId="3854F290">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2、保证额度有效期：</w:t>
      </w:r>
    </w:p>
    <w:p w14:paraId="0CBDB96E">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保证额度有效期自2026年01月22日至2027年01月21止。</w:t>
      </w:r>
    </w:p>
    <w:p w14:paraId="467F4FE7">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3、保证范围：</w:t>
      </w:r>
    </w:p>
    <w:p w14:paraId="14135C01">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1）本合同所担保的债权(以下称“被担保债权”)为债权人依据主合同约定为债务人提供各项借款、融资、担保及其他表内外金融业务而对债务人形成的全部债权，包括但不限于债权本金、利息(含罚息、复利)、违约金、损害赔偿金、债权人实现债权的费用等。</w:t>
      </w:r>
    </w:p>
    <w:p w14:paraId="2A7AD877">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（2）本合同保证额度起算前债权人对债务人已经存在的、本合同双方同意转入本合同约定的最高额保证担保的债权。</w:t>
      </w:r>
    </w:p>
    <w:p w14:paraId="15253E4E">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3）在保证额度有效期内债权人为债务人办理的贸易融资、承兑、票据回购、担保等融资业务，在保证额度有效期后才因债务人拒付、债权人垫款等行为而发生的债权人对债务人的债权也构成被担保债权的一部分。</w:t>
      </w:r>
    </w:p>
    <w:p w14:paraId="509DB775">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4）债权人因债务人办理主合同项下各项融资、担保及其他表内外各项金融业务而享有的每笔债权的本金、利息、其他费用、履行期限、用途、当事人的权利义务以及任何其他相关事项以主合同项下的相关协议、合同、申请书、通知书、各类凭证以及其他相关法律文件的记载为准，且该相关协议、合同、申请书、通知书、各类凭证以及其他相关法律文件的签发或签署无需保证人确认。</w:t>
      </w:r>
    </w:p>
    <w:p w14:paraId="30F4BF5E">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5）为避免歧义，债权人因准备、完善、履行或强制执行本合同或行使本合同项下的权利或与之有关而发生的所有费用和支出(包括但不限于律师费用、诉讼(仲裁)费、向公证机构申请出具执行证书的费用等)均构成被担保债权的一部分。</w:t>
      </w:r>
    </w:p>
    <w:p w14:paraId="3A8CBA75">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4、保证期间：</w:t>
      </w:r>
    </w:p>
    <w:p w14:paraId="6AFC8DA6">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（1）保证期间根据主合同项下债权人对债务人所提供的每笔融资分别计算，就每笔融资而言，保证期间为该笔融资项下债务履行期限届满之日起三年。</w:t>
      </w:r>
    </w:p>
    <w:p w14:paraId="13B528E9">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（2）如单笔主合同确定的融资分批到期的，每批债务的保证期间为每批融资履行期限届满之日起三年。</w:t>
      </w:r>
    </w:p>
    <w:p w14:paraId="30344D49">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（3）如主债权为分期偿还的，每期债权保证期间也分期计算，保证期间为每期债权到期之日起三年。</w:t>
      </w:r>
    </w:p>
    <w:p w14:paraId="7D86AD15">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4）如债权人与债务人就主合同项下任何一笔融资达成展期协议的，保证人在此不可撤销地表示认可和同意该展期，保证人仍对主合同下的各笔融资按本合同约定承担连带保证责任。就每笔展期的融资而言，保证期间为展期协议重新约定的债务履行期限届满之日起三年。</w:t>
      </w:r>
    </w:p>
    <w:p w14:paraId="0F3C7541">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（5）若债权人根据法律法规规定或主合同的约定宣布债务提前到期的，则保证期间为债权人向债务人通知的债务履行期限届满之日起三年。</w:t>
      </w:r>
    </w:p>
    <w:p w14:paraId="795482FC">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（6）银行承兑汇票承兑、信用证和保函项下的保证期间为债权人垫付款项之日起三年，分次垫款的，保证期间从每笔垫款之日起分别计算。</w:t>
      </w:r>
    </w:p>
    <w:p w14:paraId="594FBFF1">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（7）商业汇票贴现的保证期间为贴现票据到期之日起三年。</w:t>
      </w:r>
    </w:p>
    <w:p w14:paraId="39F9906F">
      <w:pPr>
        <w:widowControl/>
        <w:adjustRightInd w:val="0"/>
        <w:snapToGrid w:val="0"/>
        <w:spacing w:line="560" w:lineRule="exact"/>
        <w:ind w:firstLine="480" w:firstLineChars="200"/>
        <w:outlineLvl w:val="0"/>
        <w:rPr>
          <w:rFonts w:hint="eastAsia" w:asciiTheme="minorEastAsia" w:hAnsiTheme="minorEastAsia"/>
          <w:color w:val="000000"/>
          <w:kern w:val="0"/>
          <w:sz w:val="24"/>
          <w:szCs w:val="24"/>
        </w:rPr>
      </w:pPr>
      <w:r>
        <w:rPr>
          <w:rFonts w:hint="eastAsia" w:asciiTheme="minorEastAsia" w:hAnsiTheme="minorEastAsia"/>
          <w:color w:val="000000"/>
          <w:kern w:val="0"/>
          <w:sz w:val="24"/>
          <w:szCs w:val="24"/>
        </w:rPr>
        <w:t>（8）债权人为债务人提供的其他表内外各项金融业务，自该笔金融业务项下债务履行期限届满之日起三年。</w:t>
      </w:r>
    </w:p>
    <w:p w14:paraId="50D67C7E">
      <w:pPr>
        <w:widowControl/>
        <w:adjustRightInd w:val="0"/>
        <w:snapToGrid w:val="0"/>
        <w:spacing w:line="560" w:lineRule="exact"/>
        <w:ind w:firstLine="482" w:firstLineChars="200"/>
        <w:outlineLvl w:val="0"/>
        <w:rPr>
          <w:sz w:val="24"/>
          <w:szCs w:val="24"/>
        </w:rPr>
      </w:pPr>
      <w:r>
        <w:rPr>
          <w:rFonts w:hint="eastAsia" w:asciiTheme="minorEastAsia" w:hAnsiTheme="minorEastAsia" w:cstheme="minorEastAsia"/>
          <w:b/>
          <w:bCs/>
          <w:sz w:val="24"/>
          <w:szCs w:val="24"/>
        </w:rPr>
        <w:t>四、担保的必要性和合理性</w:t>
      </w:r>
    </w:p>
    <w:p w14:paraId="69D3E7A4">
      <w:pPr>
        <w:widowControl/>
        <w:adjustRightInd w:val="0"/>
        <w:snapToGrid w:val="0"/>
        <w:spacing w:line="560" w:lineRule="exact"/>
        <w:ind w:firstLine="480" w:firstLineChars="200"/>
        <w:outlineLvl w:val="0"/>
        <w:rPr>
          <w:rFonts w:asciiTheme="minorEastAsia" w:hAnsiTheme="minorEastAsia"/>
          <w:color w:val="000000"/>
          <w:kern w:val="0"/>
          <w:sz w:val="24"/>
          <w:szCs w:val="24"/>
        </w:rPr>
      </w:pPr>
      <w:r>
        <w:rPr>
          <w:rFonts w:hint="eastAsia" w:asciiTheme="minorEastAsia" w:hAnsiTheme="minorEastAsia"/>
          <w:color w:val="000000"/>
          <w:kern w:val="0"/>
          <w:sz w:val="24"/>
          <w:szCs w:val="24"/>
        </w:rPr>
        <w:t>本次担保系为泸州步长及博源润步满足日常经营需要提供的必要担保，有利于两家控股子公司稳健经营及长远发展，担保的履行对公司发展和效益提升具有积极作用；被担保企业均具备正常的债务偿还能力，不存在影响其偿债能力的重大或有事项。其中，公司持有泸州步长 97.9545% 股权，对其具有绝对经营控制权，博源润步为公司控股子公司泸州步长的全资子公司，公司亦对其具有绝对经营控制权，因两家公司少数股东持股比例较小，故未按持股比例提供担保，本次担保风险可控，不会损害公司及股东利益。</w:t>
      </w:r>
    </w:p>
    <w:p w14:paraId="34CB7884">
      <w:pPr>
        <w:widowControl/>
        <w:adjustRightInd w:val="0"/>
        <w:snapToGrid w:val="0"/>
        <w:spacing w:line="560" w:lineRule="exact"/>
        <w:ind w:firstLine="482" w:firstLineChars="200"/>
        <w:outlineLvl w:val="0"/>
        <w:rPr>
          <w:sz w:val="24"/>
          <w:szCs w:val="24"/>
        </w:rPr>
      </w:pPr>
      <w:r>
        <w:rPr>
          <w:rFonts w:hint="eastAsia" w:asciiTheme="minorEastAsia" w:hAnsiTheme="minorEastAsia" w:cstheme="minorEastAsia"/>
          <w:b/>
          <w:bCs/>
          <w:sz w:val="24"/>
          <w:szCs w:val="24"/>
        </w:rPr>
        <w:t>五、董事会意见</w:t>
      </w:r>
    </w:p>
    <w:p w14:paraId="27A22DBA">
      <w:pPr>
        <w:widowControl/>
        <w:adjustRightInd w:val="0"/>
        <w:snapToGrid w:val="0"/>
        <w:spacing w:line="560" w:lineRule="exact"/>
        <w:ind w:firstLine="480" w:firstLineChars="200"/>
        <w:outlineLvl w:val="0"/>
        <w:rPr>
          <w:rFonts w:asciiTheme="minorEastAsia" w:hAnsiTheme="minorEastAsia"/>
          <w:color w:val="000000"/>
          <w:kern w:val="0"/>
          <w:sz w:val="24"/>
          <w:szCs w:val="24"/>
        </w:rPr>
      </w:pPr>
      <w:r>
        <w:rPr>
          <w:rFonts w:hint="eastAsia" w:asciiTheme="minorEastAsia" w:hAnsiTheme="minorEastAsia"/>
          <w:color w:val="000000"/>
          <w:kern w:val="0"/>
          <w:sz w:val="24"/>
          <w:szCs w:val="24"/>
        </w:rPr>
        <w:t>被担保对象为公司控股子公司，公司能够对其业务经营和财务管理实施有效控制，控股子公司经营情况稳定，具备履约能力，风险可控；提供担保亦是公司合并范围内基于业务拓展需要的合理配置，主要为满足其资金周转及日常生产经营需要，不影响公司正常业务开展及资金使用，不存在向关联方输送利益的情形，不存在损害公司及股东，特别是中小股东利益的情形，符合相关法律法规和《公司章程》的规定。</w:t>
      </w:r>
    </w:p>
    <w:p w14:paraId="0C31DF27">
      <w:pPr>
        <w:widowControl/>
        <w:adjustRightInd w:val="0"/>
        <w:snapToGrid w:val="0"/>
        <w:spacing w:line="560" w:lineRule="exact"/>
        <w:ind w:firstLine="482" w:firstLineChars="200"/>
        <w:outlineLvl w:val="0"/>
        <w:rPr>
          <w:rFonts w:asciiTheme="minorEastAsia" w:hAnsiTheme="minorEastAsia" w:cstheme="minorEastAsia"/>
          <w:b/>
          <w:bCs/>
          <w:sz w:val="24"/>
          <w:szCs w:val="24"/>
        </w:rPr>
      </w:pPr>
      <w:r>
        <w:rPr>
          <w:rFonts w:hint="eastAsia" w:asciiTheme="minorEastAsia" w:hAnsiTheme="minorEastAsia" w:cstheme="minorEastAsia"/>
          <w:b/>
          <w:bCs/>
          <w:sz w:val="24"/>
          <w:szCs w:val="24"/>
        </w:rPr>
        <w:t>六、累计对外担保数量及逾期担保的数量</w:t>
      </w:r>
    </w:p>
    <w:p w14:paraId="5B6A5044">
      <w:pPr>
        <w:widowControl/>
        <w:adjustRightInd w:val="0"/>
        <w:snapToGrid w:val="0"/>
        <w:spacing w:line="560" w:lineRule="exact"/>
        <w:ind w:firstLine="480" w:firstLineChars="200"/>
        <w:outlineLvl w:val="0"/>
        <w:rPr>
          <w:rFonts w:asciiTheme="minorEastAsia" w:hAnsiTheme="minorEastAsia"/>
          <w:color w:val="000000"/>
          <w:kern w:val="0"/>
          <w:sz w:val="24"/>
          <w:szCs w:val="24"/>
        </w:rPr>
      </w:pPr>
      <w:r>
        <w:rPr>
          <w:rFonts w:hint="eastAsia" w:asciiTheme="minorEastAsia" w:hAnsiTheme="minorEastAsia"/>
          <w:color w:val="000000"/>
          <w:kern w:val="0"/>
          <w:sz w:val="24"/>
          <w:szCs w:val="24"/>
        </w:rPr>
        <w:t>截至本公告披露日，公司及控股子公司已提供的担保总额为人民币265,330.79万元，占2024年末经审计的公司净资产的</w:t>
      </w:r>
      <w:r>
        <w:rPr>
          <w:rFonts w:hint="eastAsia" w:asciiTheme="minorEastAsia" w:hAnsiTheme="minorEastAsia"/>
          <w:color w:val="000000"/>
          <w:kern w:val="0"/>
          <w:sz w:val="24"/>
          <w:szCs w:val="24"/>
          <w:lang w:val="en-US" w:eastAsia="zh-CN"/>
        </w:rPr>
        <w:t>25.97</w:t>
      </w:r>
      <w:r>
        <w:rPr>
          <w:rFonts w:hint="eastAsia" w:asciiTheme="minorEastAsia" w:hAnsiTheme="minorEastAsia"/>
          <w:color w:val="000000"/>
          <w:kern w:val="0"/>
          <w:sz w:val="24"/>
          <w:szCs w:val="24"/>
        </w:rPr>
        <w:t>%。截止目前，公司无逾期对外担保。</w:t>
      </w:r>
    </w:p>
    <w:p w14:paraId="189614C7">
      <w:pPr>
        <w:widowControl/>
        <w:adjustRightInd w:val="0"/>
        <w:snapToGrid w:val="0"/>
        <w:spacing w:line="560" w:lineRule="exact"/>
        <w:ind w:firstLine="480" w:firstLineChars="200"/>
        <w:outlineLvl w:val="0"/>
        <w:rPr>
          <w:rFonts w:asciiTheme="minorEastAsia" w:hAnsiTheme="minorEastAsia"/>
          <w:color w:val="000000"/>
          <w:kern w:val="0"/>
          <w:sz w:val="24"/>
          <w:szCs w:val="24"/>
        </w:rPr>
      </w:pPr>
    </w:p>
    <w:p w14:paraId="50A7C220">
      <w:pPr>
        <w:widowControl/>
        <w:adjustRightInd w:val="0"/>
        <w:snapToGrid w:val="0"/>
        <w:spacing w:line="560" w:lineRule="exact"/>
        <w:rPr>
          <w:rFonts w:asciiTheme="minorEastAsia" w:hAnsiTheme="minorEastAsia" w:cstheme="minorEastAsia"/>
          <w:sz w:val="24"/>
          <w:szCs w:val="24"/>
        </w:rPr>
      </w:pPr>
    </w:p>
    <w:p w14:paraId="4ECF296E">
      <w:pPr>
        <w:adjustRightInd w:val="0"/>
        <w:snapToGrid w:val="0"/>
        <w:spacing w:line="360" w:lineRule="auto"/>
        <w:rPr>
          <w:rFonts w:asciiTheme="minorEastAsia" w:hAnsiTheme="minorEastAsia"/>
          <w:bCs/>
          <w:sz w:val="24"/>
          <w:szCs w:val="24"/>
        </w:rPr>
      </w:pPr>
    </w:p>
    <w:p w14:paraId="7C7538B3">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特此公告。</w:t>
      </w:r>
    </w:p>
    <w:p w14:paraId="380D1FC4">
      <w:pPr>
        <w:adjustRightInd w:val="0"/>
        <w:snapToGrid w:val="0"/>
        <w:spacing w:line="360" w:lineRule="auto"/>
        <w:rPr>
          <w:rFonts w:asciiTheme="minorEastAsia" w:hAnsiTheme="minorEastAsia"/>
          <w:bCs/>
          <w:sz w:val="24"/>
          <w:szCs w:val="24"/>
        </w:rPr>
      </w:pPr>
    </w:p>
    <w:p w14:paraId="6A887C0A">
      <w:pPr>
        <w:adjustRightInd w:val="0"/>
        <w:snapToGrid w:val="0"/>
        <w:spacing w:line="360" w:lineRule="auto"/>
        <w:rPr>
          <w:rFonts w:asciiTheme="minorEastAsia" w:hAnsiTheme="minorEastAsia"/>
          <w:bCs/>
          <w:sz w:val="24"/>
          <w:szCs w:val="24"/>
        </w:rPr>
      </w:pPr>
    </w:p>
    <w:p w14:paraId="110B83AC">
      <w:pPr>
        <w:adjustRightInd w:val="0"/>
        <w:snapToGrid w:val="0"/>
        <w:spacing w:line="360" w:lineRule="auto"/>
        <w:jc w:val="right"/>
        <w:rPr>
          <w:rFonts w:asciiTheme="minorEastAsia" w:hAnsiTheme="minorEastAsia"/>
          <w:bCs/>
          <w:sz w:val="24"/>
          <w:szCs w:val="24"/>
        </w:rPr>
      </w:pPr>
      <w:r>
        <w:rPr>
          <w:rFonts w:hint="eastAsia" w:asciiTheme="minorEastAsia" w:hAnsiTheme="minorEastAsia"/>
          <w:bCs/>
          <w:sz w:val="24"/>
          <w:szCs w:val="24"/>
        </w:rPr>
        <w:t>山东步长制药股份有限公司董事会</w:t>
      </w:r>
    </w:p>
    <w:p w14:paraId="01C71084">
      <w:pPr>
        <w:adjustRightInd w:val="0"/>
        <w:snapToGrid w:val="0"/>
        <w:spacing w:line="360" w:lineRule="auto"/>
        <w:jc w:val="right"/>
        <w:rPr>
          <w:rFonts w:asciiTheme="minorEastAsia" w:hAnsiTheme="minorEastAsia"/>
          <w:bCs/>
          <w:sz w:val="24"/>
          <w:szCs w:val="24"/>
        </w:rPr>
      </w:pPr>
      <w:r>
        <w:rPr>
          <w:rFonts w:hint="eastAsia" w:asciiTheme="minorEastAsia" w:hAnsiTheme="minorEastAsia"/>
          <w:bCs/>
          <w:sz w:val="24"/>
          <w:szCs w:val="24"/>
        </w:rPr>
        <w:t>2026年3月25日</w:t>
      </w:r>
    </w:p>
    <w:p w14:paraId="1376CADD">
      <w:pPr>
        <w:jc w:val="right"/>
        <w:rPr>
          <w:rFonts w:asciiTheme="minorEastAsia" w:hAnsiTheme="min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1D5"/>
    <w:multiLevelType w:val="multilevel"/>
    <w:tmpl w:val="00E041D5"/>
    <w:lvl w:ilvl="0" w:tentative="0">
      <w:start w:val="1"/>
      <w:numFmt w:val="japaneseCounting"/>
      <w:lvlText w:val="（%1）"/>
      <w:lvlJc w:val="left"/>
      <w:pPr>
        <w:ind w:left="1145" w:hanging="72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2">
    <w:nsid w:val="580E64DF"/>
    <w:multiLevelType w:val="multilevel"/>
    <w:tmpl w:val="580E64DF"/>
    <w:lvl w:ilvl="0" w:tentative="0">
      <w:start w:val="1"/>
      <w:numFmt w:val="japaneseCounting"/>
      <w:lvlText w:val="（%1）"/>
      <w:lvlJc w:val="left"/>
      <w:pPr>
        <w:ind w:left="93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 w:name="RemovedBindingXPath"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26497"/>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5492"/>
    <w:rsid w:val="000657A0"/>
    <w:rsid w:val="00071209"/>
    <w:rsid w:val="00071335"/>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B7351"/>
    <w:rsid w:val="000C126A"/>
    <w:rsid w:val="000C1CD5"/>
    <w:rsid w:val="000C26F1"/>
    <w:rsid w:val="000C2A07"/>
    <w:rsid w:val="000C2BA7"/>
    <w:rsid w:val="000C4D9C"/>
    <w:rsid w:val="000C4F6E"/>
    <w:rsid w:val="000D0554"/>
    <w:rsid w:val="000D408E"/>
    <w:rsid w:val="000D4135"/>
    <w:rsid w:val="000D46D2"/>
    <w:rsid w:val="000D70E1"/>
    <w:rsid w:val="000D71C2"/>
    <w:rsid w:val="000E2385"/>
    <w:rsid w:val="000E2BD7"/>
    <w:rsid w:val="000E4C4B"/>
    <w:rsid w:val="000E5CEE"/>
    <w:rsid w:val="000E5D69"/>
    <w:rsid w:val="000E5F2E"/>
    <w:rsid w:val="000E65BF"/>
    <w:rsid w:val="000F2FE3"/>
    <w:rsid w:val="000F32A6"/>
    <w:rsid w:val="000F39F7"/>
    <w:rsid w:val="000F4243"/>
    <w:rsid w:val="00102EE0"/>
    <w:rsid w:val="00105374"/>
    <w:rsid w:val="00110400"/>
    <w:rsid w:val="00110C53"/>
    <w:rsid w:val="00110FD3"/>
    <w:rsid w:val="00111FD6"/>
    <w:rsid w:val="00115BC8"/>
    <w:rsid w:val="00117BC7"/>
    <w:rsid w:val="00120E15"/>
    <w:rsid w:val="00122FC3"/>
    <w:rsid w:val="00123A27"/>
    <w:rsid w:val="0013329D"/>
    <w:rsid w:val="00134588"/>
    <w:rsid w:val="001345D6"/>
    <w:rsid w:val="00135412"/>
    <w:rsid w:val="00136B4D"/>
    <w:rsid w:val="00142572"/>
    <w:rsid w:val="00142BE7"/>
    <w:rsid w:val="00144A2D"/>
    <w:rsid w:val="00145904"/>
    <w:rsid w:val="00145AE4"/>
    <w:rsid w:val="00146AE6"/>
    <w:rsid w:val="00147BA3"/>
    <w:rsid w:val="001509BD"/>
    <w:rsid w:val="00154ECD"/>
    <w:rsid w:val="00154F63"/>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F96"/>
    <w:rsid w:val="00231D36"/>
    <w:rsid w:val="0023362A"/>
    <w:rsid w:val="002350F8"/>
    <w:rsid w:val="002370D9"/>
    <w:rsid w:val="002432E5"/>
    <w:rsid w:val="002442E0"/>
    <w:rsid w:val="00244577"/>
    <w:rsid w:val="0024553B"/>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3CFE"/>
    <w:rsid w:val="002E5862"/>
    <w:rsid w:val="002E6FED"/>
    <w:rsid w:val="002F0218"/>
    <w:rsid w:val="002F4615"/>
    <w:rsid w:val="002F7887"/>
    <w:rsid w:val="00300E0C"/>
    <w:rsid w:val="003068DE"/>
    <w:rsid w:val="00306CA5"/>
    <w:rsid w:val="003071F3"/>
    <w:rsid w:val="00317BC2"/>
    <w:rsid w:val="003216A9"/>
    <w:rsid w:val="003216CC"/>
    <w:rsid w:val="0032367F"/>
    <w:rsid w:val="00323A21"/>
    <w:rsid w:val="0032458D"/>
    <w:rsid w:val="00324B82"/>
    <w:rsid w:val="003253F1"/>
    <w:rsid w:val="00325654"/>
    <w:rsid w:val="0032604F"/>
    <w:rsid w:val="00331C12"/>
    <w:rsid w:val="00335113"/>
    <w:rsid w:val="0033790F"/>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1A78"/>
    <w:rsid w:val="003F333E"/>
    <w:rsid w:val="003F59BF"/>
    <w:rsid w:val="003F619C"/>
    <w:rsid w:val="003F651E"/>
    <w:rsid w:val="00404DF5"/>
    <w:rsid w:val="00405849"/>
    <w:rsid w:val="00405F2E"/>
    <w:rsid w:val="0040650F"/>
    <w:rsid w:val="004150E8"/>
    <w:rsid w:val="00423B5B"/>
    <w:rsid w:val="004240D4"/>
    <w:rsid w:val="00424E22"/>
    <w:rsid w:val="00425642"/>
    <w:rsid w:val="00425888"/>
    <w:rsid w:val="00426491"/>
    <w:rsid w:val="00427543"/>
    <w:rsid w:val="00427FE6"/>
    <w:rsid w:val="00430B69"/>
    <w:rsid w:val="0043754A"/>
    <w:rsid w:val="00437CE1"/>
    <w:rsid w:val="0044168F"/>
    <w:rsid w:val="00442A1B"/>
    <w:rsid w:val="004443A8"/>
    <w:rsid w:val="00444D15"/>
    <w:rsid w:val="004452CF"/>
    <w:rsid w:val="00445C36"/>
    <w:rsid w:val="004462D1"/>
    <w:rsid w:val="00447880"/>
    <w:rsid w:val="00447E97"/>
    <w:rsid w:val="0046022C"/>
    <w:rsid w:val="00460544"/>
    <w:rsid w:val="0046389B"/>
    <w:rsid w:val="00463EC0"/>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469"/>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40A1"/>
    <w:rsid w:val="005173B0"/>
    <w:rsid w:val="00521184"/>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666D1"/>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6268"/>
    <w:rsid w:val="00691E10"/>
    <w:rsid w:val="00692118"/>
    <w:rsid w:val="00692532"/>
    <w:rsid w:val="00695C7D"/>
    <w:rsid w:val="006965D0"/>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26930"/>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6E1C"/>
    <w:rsid w:val="007672B9"/>
    <w:rsid w:val="0077016A"/>
    <w:rsid w:val="007755A3"/>
    <w:rsid w:val="00775E7C"/>
    <w:rsid w:val="00783EEA"/>
    <w:rsid w:val="00783FAF"/>
    <w:rsid w:val="00792C7B"/>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59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39D9"/>
    <w:rsid w:val="00865F95"/>
    <w:rsid w:val="0087074B"/>
    <w:rsid w:val="00871507"/>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67DC"/>
    <w:rsid w:val="008B74D6"/>
    <w:rsid w:val="008C1E16"/>
    <w:rsid w:val="008C2F86"/>
    <w:rsid w:val="008C307D"/>
    <w:rsid w:val="008C441C"/>
    <w:rsid w:val="008C4C7B"/>
    <w:rsid w:val="008C5451"/>
    <w:rsid w:val="008C5DB8"/>
    <w:rsid w:val="008C6A69"/>
    <w:rsid w:val="008C6EF5"/>
    <w:rsid w:val="008C7C1D"/>
    <w:rsid w:val="008D068D"/>
    <w:rsid w:val="008D0764"/>
    <w:rsid w:val="008D1EE6"/>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5F14"/>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6DF6"/>
    <w:rsid w:val="00997254"/>
    <w:rsid w:val="009A1B98"/>
    <w:rsid w:val="009A240C"/>
    <w:rsid w:val="009A415C"/>
    <w:rsid w:val="009A5C7D"/>
    <w:rsid w:val="009A5DAF"/>
    <w:rsid w:val="009A6874"/>
    <w:rsid w:val="009A7601"/>
    <w:rsid w:val="009B026F"/>
    <w:rsid w:val="009B3ABD"/>
    <w:rsid w:val="009B7AEF"/>
    <w:rsid w:val="009C16F8"/>
    <w:rsid w:val="009D3111"/>
    <w:rsid w:val="009D3181"/>
    <w:rsid w:val="009D334A"/>
    <w:rsid w:val="009D5EB8"/>
    <w:rsid w:val="009D6FBE"/>
    <w:rsid w:val="009E13E0"/>
    <w:rsid w:val="009E1B59"/>
    <w:rsid w:val="009E2422"/>
    <w:rsid w:val="009E3118"/>
    <w:rsid w:val="009E3688"/>
    <w:rsid w:val="009E3815"/>
    <w:rsid w:val="009E3C2D"/>
    <w:rsid w:val="009E3F9D"/>
    <w:rsid w:val="009E714A"/>
    <w:rsid w:val="009E7BC9"/>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1765A"/>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71A"/>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45F9"/>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4F1D"/>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231"/>
    <w:rsid w:val="00C154E0"/>
    <w:rsid w:val="00C1607F"/>
    <w:rsid w:val="00C16743"/>
    <w:rsid w:val="00C176BF"/>
    <w:rsid w:val="00C17AE0"/>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3E0F"/>
    <w:rsid w:val="00C96AA0"/>
    <w:rsid w:val="00C96B4E"/>
    <w:rsid w:val="00C9754C"/>
    <w:rsid w:val="00CA40B0"/>
    <w:rsid w:val="00CA5963"/>
    <w:rsid w:val="00CA5F3C"/>
    <w:rsid w:val="00CA6285"/>
    <w:rsid w:val="00CA62D8"/>
    <w:rsid w:val="00CA6AB8"/>
    <w:rsid w:val="00CB23BD"/>
    <w:rsid w:val="00CB3998"/>
    <w:rsid w:val="00CB5618"/>
    <w:rsid w:val="00CB577A"/>
    <w:rsid w:val="00CC290D"/>
    <w:rsid w:val="00CC483E"/>
    <w:rsid w:val="00CC7B96"/>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200F8"/>
    <w:rsid w:val="00D208E9"/>
    <w:rsid w:val="00D2146D"/>
    <w:rsid w:val="00D234C0"/>
    <w:rsid w:val="00D23EC6"/>
    <w:rsid w:val="00D25D68"/>
    <w:rsid w:val="00D2601F"/>
    <w:rsid w:val="00D27CC0"/>
    <w:rsid w:val="00D30E41"/>
    <w:rsid w:val="00D31534"/>
    <w:rsid w:val="00D32EF8"/>
    <w:rsid w:val="00D33282"/>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3B77"/>
    <w:rsid w:val="00D83E3D"/>
    <w:rsid w:val="00D84631"/>
    <w:rsid w:val="00D9330E"/>
    <w:rsid w:val="00D970C8"/>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908"/>
    <w:rsid w:val="00DC5BD7"/>
    <w:rsid w:val="00DC678B"/>
    <w:rsid w:val="00DD0F39"/>
    <w:rsid w:val="00DD1C1A"/>
    <w:rsid w:val="00DD1D73"/>
    <w:rsid w:val="00DD24C7"/>
    <w:rsid w:val="00DD2C71"/>
    <w:rsid w:val="00DD402D"/>
    <w:rsid w:val="00DD5114"/>
    <w:rsid w:val="00DD63D0"/>
    <w:rsid w:val="00DD6882"/>
    <w:rsid w:val="00DD7257"/>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0693"/>
    <w:rsid w:val="00E337B2"/>
    <w:rsid w:val="00E36046"/>
    <w:rsid w:val="00E368C1"/>
    <w:rsid w:val="00E42686"/>
    <w:rsid w:val="00E45713"/>
    <w:rsid w:val="00E46E94"/>
    <w:rsid w:val="00E50C65"/>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566"/>
    <w:rsid w:val="00E66780"/>
    <w:rsid w:val="00E6678D"/>
    <w:rsid w:val="00E667F5"/>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0B0"/>
    <w:rsid w:val="00EB5C44"/>
    <w:rsid w:val="00EB5FE0"/>
    <w:rsid w:val="00EC185B"/>
    <w:rsid w:val="00EC428E"/>
    <w:rsid w:val="00EC50AD"/>
    <w:rsid w:val="00EC6872"/>
    <w:rsid w:val="00ED0449"/>
    <w:rsid w:val="00ED1087"/>
    <w:rsid w:val="00ED59CC"/>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EFB"/>
    <w:rsid w:val="00F90C71"/>
    <w:rsid w:val="00F91F35"/>
    <w:rsid w:val="00F922A6"/>
    <w:rsid w:val="00F94792"/>
    <w:rsid w:val="00F96A74"/>
    <w:rsid w:val="00F97056"/>
    <w:rsid w:val="00FA2572"/>
    <w:rsid w:val="00FA28FE"/>
    <w:rsid w:val="00FA4372"/>
    <w:rsid w:val="00FA5CE2"/>
    <w:rsid w:val="00FB0403"/>
    <w:rsid w:val="00FB33C3"/>
    <w:rsid w:val="00FB5F54"/>
    <w:rsid w:val="00FB6C04"/>
    <w:rsid w:val="00FC2613"/>
    <w:rsid w:val="00FC4C29"/>
    <w:rsid w:val="00FD1625"/>
    <w:rsid w:val="00FD1905"/>
    <w:rsid w:val="00FD20A5"/>
    <w:rsid w:val="00FD3374"/>
    <w:rsid w:val="00FD4E57"/>
    <w:rsid w:val="00FD7736"/>
    <w:rsid w:val="00FE102D"/>
    <w:rsid w:val="00FE1CA2"/>
    <w:rsid w:val="00FE4655"/>
    <w:rsid w:val="00FE46A9"/>
    <w:rsid w:val="00FE4A6A"/>
    <w:rsid w:val="00FE6863"/>
    <w:rsid w:val="00FF1D89"/>
    <w:rsid w:val="00FF1E2E"/>
    <w:rsid w:val="00FF227D"/>
    <w:rsid w:val="00FF22CF"/>
    <w:rsid w:val="00FF2991"/>
    <w:rsid w:val="00FF4DF1"/>
    <w:rsid w:val="00FF5B20"/>
    <w:rsid w:val="00FF5D8D"/>
    <w:rsid w:val="02A90E9A"/>
    <w:rsid w:val="13D5646E"/>
    <w:rsid w:val="15910B7E"/>
    <w:rsid w:val="15E2762C"/>
    <w:rsid w:val="1A9A4006"/>
    <w:rsid w:val="1B7349E9"/>
    <w:rsid w:val="1E904780"/>
    <w:rsid w:val="26755731"/>
    <w:rsid w:val="29AE18A7"/>
    <w:rsid w:val="32502FE4"/>
    <w:rsid w:val="3DA9265A"/>
    <w:rsid w:val="3F7B6CCD"/>
    <w:rsid w:val="40F86B82"/>
    <w:rsid w:val="44937BC0"/>
    <w:rsid w:val="464473C4"/>
    <w:rsid w:val="498309E8"/>
    <w:rsid w:val="4A192915"/>
    <w:rsid w:val="4F4E3061"/>
    <w:rsid w:val="50B138A7"/>
    <w:rsid w:val="51BC1E0A"/>
    <w:rsid w:val="568B2BAE"/>
    <w:rsid w:val="5FD72BFF"/>
    <w:rsid w:val="643962DE"/>
    <w:rsid w:val="6CE81D17"/>
    <w:rsid w:val="74786307"/>
    <w:rsid w:val="7E8A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eastAsia="宋体"/>
      <w:sz w:val="18"/>
      <w:szCs w:val="18"/>
    </w:rPr>
  </w:style>
  <w:style w:type="paragraph" w:styleId="5">
    <w:name w:val="annotation text"/>
    <w:basedOn w:val="1"/>
    <w:link w:val="29"/>
    <w:unhideWhenUsed/>
    <w:qFormat/>
    <w:uiPriority w:val="99"/>
    <w:pPr>
      <w:jc w:val="left"/>
    </w:pPr>
  </w:style>
  <w:style w:type="paragraph" w:styleId="6">
    <w:name w:val="Balloon Text"/>
    <w:basedOn w:val="1"/>
    <w:link w:val="1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31"/>
    <w:semiHidden/>
    <w:unhideWhenUsed/>
    <w:qFormat/>
    <w:uiPriority w:val="99"/>
    <w:rPr>
      <w:b/>
      <w:bCs/>
    </w:r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semiHidden/>
    <w:unhideWhenUsed/>
    <w:qFormat/>
    <w:uiPriority w:val="99"/>
    <w:rPr>
      <w:sz w:val="21"/>
      <w:szCs w:val="21"/>
    </w:rPr>
  </w:style>
  <w:style w:type="character" w:customStyle="1" w:styleId="14">
    <w:name w:val="批注框文本 字符"/>
    <w:basedOn w:val="12"/>
    <w:link w:val="6"/>
    <w:semiHidden/>
    <w:qFormat/>
    <w:uiPriority w:val="99"/>
    <w:rPr>
      <w:sz w:val="18"/>
      <w:szCs w:val="18"/>
    </w:rPr>
  </w:style>
  <w:style w:type="character" w:customStyle="1" w:styleId="15">
    <w:name w:val="标题 1 字符"/>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文档结构图 字符"/>
    <w:basedOn w:val="12"/>
    <w:link w:val="4"/>
    <w:semiHidden/>
    <w:qFormat/>
    <w:uiPriority w:val="99"/>
    <w:rPr>
      <w:rFonts w:ascii="宋体" w:eastAsia="宋体"/>
      <w:sz w:val="18"/>
      <w:szCs w:val="18"/>
    </w:rPr>
  </w:style>
  <w:style w:type="character" w:customStyle="1" w:styleId="22">
    <w:name w:val="样式1"/>
    <w:qFormat/>
    <w:uiPriority w:val="1"/>
  </w:style>
  <w:style w:type="character" w:customStyle="1" w:styleId="23">
    <w:name w:val="样式2"/>
    <w:basedOn w:val="22"/>
    <w:qFormat/>
    <w:uiPriority w:val="1"/>
  </w:style>
  <w:style w:type="character" w:customStyle="1" w:styleId="24">
    <w:name w:val="样式3"/>
    <w:basedOn w:val="22"/>
    <w:qFormat/>
    <w:uiPriority w:val="1"/>
  </w:style>
  <w:style w:type="character" w:customStyle="1" w:styleId="25">
    <w:name w:val="样式4"/>
    <w:basedOn w:val="22"/>
    <w:qFormat/>
    <w:uiPriority w:val="1"/>
  </w:style>
  <w:style w:type="character" w:customStyle="1" w:styleId="26">
    <w:name w:val="样式5"/>
    <w:basedOn w:val="22"/>
    <w:qFormat/>
    <w:uiPriority w:val="1"/>
  </w:style>
  <w:style w:type="character" w:customStyle="1" w:styleId="27">
    <w:name w:val="样式6"/>
    <w:basedOn w:val="25"/>
    <w:qFormat/>
    <w:uiPriority w:val="1"/>
  </w:style>
  <w:style w:type="character" w:customStyle="1" w:styleId="28">
    <w:name w:val="样式7"/>
    <w:basedOn w:val="25"/>
    <w:qFormat/>
    <w:uiPriority w:val="1"/>
  </w:style>
  <w:style w:type="character" w:customStyle="1" w:styleId="29">
    <w:name w:val="批注文字 字符"/>
    <w:basedOn w:val="12"/>
    <w:link w:val="5"/>
    <w:qFormat/>
    <w:uiPriority w:val="99"/>
  </w:style>
  <w:style w:type="paragraph" w:customStyle="1" w:styleId="30">
    <w:name w:val="p0"/>
    <w:basedOn w:val="1"/>
    <w:qFormat/>
    <w:uiPriority w:val="0"/>
    <w:pPr>
      <w:widowControl/>
    </w:pPr>
    <w:rPr>
      <w:rFonts w:ascii="Book Antiqua" w:hAnsi="Book Antiqua" w:eastAsia="宋体" w:cs="宋体"/>
      <w:kern w:val="0"/>
      <w:sz w:val="24"/>
      <w:szCs w:val="24"/>
    </w:rPr>
  </w:style>
  <w:style w:type="character" w:customStyle="1" w:styleId="31">
    <w:name w:val="批注主题 字符"/>
    <w:basedOn w:val="29"/>
    <w:link w:val="9"/>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0646D8B9-4CB3-4B6D-B9D1-AC79FFEFD79F}"/>
      </w:docPartPr>
      <w:docPartBody>
        <w:p w14:paraId="2EF7A56D">
          <w:pPr>
            <w:pStyle w:val="6"/>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522B"/>
    <w:rsid w:val="00032CF6"/>
    <w:rsid w:val="000343D6"/>
    <w:rsid w:val="0004422D"/>
    <w:rsid w:val="00046446"/>
    <w:rsid w:val="00051238"/>
    <w:rsid w:val="00064914"/>
    <w:rsid w:val="000777D0"/>
    <w:rsid w:val="00083392"/>
    <w:rsid w:val="00091B04"/>
    <w:rsid w:val="000927E9"/>
    <w:rsid w:val="000B72CA"/>
    <w:rsid w:val="000D5200"/>
    <w:rsid w:val="000E3071"/>
    <w:rsid w:val="0011090A"/>
    <w:rsid w:val="00111BD1"/>
    <w:rsid w:val="0013460A"/>
    <w:rsid w:val="00145670"/>
    <w:rsid w:val="0016580D"/>
    <w:rsid w:val="00171F41"/>
    <w:rsid w:val="0019225F"/>
    <w:rsid w:val="001D5BCD"/>
    <w:rsid w:val="001D6115"/>
    <w:rsid w:val="002143E6"/>
    <w:rsid w:val="00256D89"/>
    <w:rsid w:val="00267098"/>
    <w:rsid w:val="00282A8F"/>
    <w:rsid w:val="002D1206"/>
    <w:rsid w:val="002E6255"/>
    <w:rsid w:val="00306E3D"/>
    <w:rsid w:val="00316D69"/>
    <w:rsid w:val="0033790F"/>
    <w:rsid w:val="0036106E"/>
    <w:rsid w:val="00376DD0"/>
    <w:rsid w:val="003810DE"/>
    <w:rsid w:val="003906EF"/>
    <w:rsid w:val="003B04EC"/>
    <w:rsid w:val="003B50D8"/>
    <w:rsid w:val="003D385E"/>
    <w:rsid w:val="00400A4A"/>
    <w:rsid w:val="00425888"/>
    <w:rsid w:val="0043069B"/>
    <w:rsid w:val="00495DE2"/>
    <w:rsid w:val="004A1379"/>
    <w:rsid w:val="004A2790"/>
    <w:rsid w:val="004A4D38"/>
    <w:rsid w:val="004B104B"/>
    <w:rsid w:val="004B2A73"/>
    <w:rsid w:val="004B46C6"/>
    <w:rsid w:val="004B72D1"/>
    <w:rsid w:val="004E2C00"/>
    <w:rsid w:val="00505B16"/>
    <w:rsid w:val="005140A1"/>
    <w:rsid w:val="00524560"/>
    <w:rsid w:val="0052623E"/>
    <w:rsid w:val="005409B4"/>
    <w:rsid w:val="00541ABD"/>
    <w:rsid w:val="0058791E"/>
    <w:rsid w:val="005A02F7"/>
    <w:rsid w:val="005B1E3A"/>
    <w:rsid w:val="005D54A9"/>
    <w:rsid w:val="00602E7D"/>
    <w:rsid w:val="00633C9B"/>
    <w:rsid w:val="00645CB1"/>
    <w:rsid w:val="00687612"/>
    <w:rsid w:val="006B7BE4"/>
    <w:rsid w:val="00734AD3"/>
    <w:rsid w:val="00752860"/>
    <w:rsid w:val="00765580"/>
    <w:rsid w:val="00777D46"/>
    <w:rsid w:val="00780325"/>
    <w:rsid w:val="00781254"/>
    <w:rsid w:val="0078693E"/>
    <w:rsid w:val="007A02EA"/>
    <w:rsid w:val="007A4890"/>
    <w:rsid w:val="007B1DA5"/>
    <w:rsid w:val="007C7D34"/>
    <w:rsid w:val="00800822"/>
    <w:rsid w:val="00846FD4"/>
    <w:rsid w:val="00851D98"/>
    <w:rsid w:val="008639D9"/>
    <w:rsid w:val="008B67DC"/>
    <w:rsid w:val="008D23BF"/>
    <w:rsid w:val="00915F14"/>
    <w:rsid w:val="00932870"/>
    <w:rsid w:val="0095546D"/>
    <w:rsid w:val="009830BF"/>
    <w:rsid w:val="00985796"/>
    <w:rsid w:val="00996F77"/>
    <w:rsid w:val="009A3853"/>
    <w:rsid w:val="009C514E"/>
    <w:rsid w:val="009E760E"/>
    <w:rsid w:val="00A10E8A"/>
    <w:rsid w:val="00A3150D"/>
    <w:rsid w:val="00A41B15"/>
    <w:rsid w:val="00A52925"/>
    <w:rsid w:val="00A76F92"/>
    <w:rsid w:val="00A808AB"/>
    <w:rsid w:val="00A86D8A"/>
    <w:rsid w:val="00AA1850"/>
    <w:rsid w:val="00AA1CD6"/>
    <w:rsid w:val="00AB46B1"/>
    <w:rsid w:val="00B73474"/>
    <w:rsid w:val="00B84331"/>
    <w:rsid w:val="00BA1417"/>
    <w:rsid w:val="00BD5113"/>
    <w:rsid w:val="00BD611D"/>
    <w:rsid w:val="00C01254"/>
    <w:rsid w:val="00C1573E"/>
    <w:rsid w:val="00CA0358"/>
    <w:rsid w:val="00CA6AB8"/>
    <w:rsid w:val="00CB6A47"/>
    <w:rsid w:val="00D047C8"/>
    <w:rsid w:val="00D26A94"/>
    <w:rsid w:val="00D711C1"/>
    <w:rsid w:val="00D74505"/>
    <w:rsid w:val="00D839D6"/>
    <w:rsid w:val="00DB1BD1"/>
    <w:rsid w:val="00DC38EF"/>
    <w:rsid w:val="00DD166E"/>
    <w:rsid w:val="00DD7257"/>
    <w:rsid w:val="00DF2409"/>
    <w:rsid w:val="00E00E43"/>
    <w:rsid w:val="00E667F5"/>
    <w:rsid w:val="00E717CD"/>
    <w:rsid w:val="00E93D68"/>
    <w:rsid w:val="00EA05B6"/>
    <w:rsid w:val="00F143C9"/>
    <w:rsid w:val="00F476B3"/>
    <w:rsid w:val="00F774E5"/>
    <w:rsid w:val="00FB76F7"/>
    <w:rsid w:val="00FC2613"/>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D5B3E427E2F473290871AA622B3CDE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]]></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]]></t:sse>
</t:template>
</file>

<file path=customXml/itemProps1.xml><?xml version="1.0" encoding="utf-8"?>
<ds:datastoreItem xmlns:ds="http://schemas.openxmlformats.org/officeDocument/2006/customXml" ds:itemID="{0FFA67A1-90A1-4C44-BFDD-7B239F2BF9B0}">
  <ds:schemaRefs/>
</ds:datastoreItem>
</file>

<file path=customXml/itemProps2.xml><?xml version="1.0" encoding="utf-8"?>
<ds:datastoreItem xmlns:ds="http://schemas.openxmlformats.org/officeDocument/2006/customXml" ds:itemID="{016DFE09-6AB3-4B30-BC30-C8409B39E56C}">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CE817179-C657-4E05-9C47-E2DE511B7DAC}">
  <ds:schemaRefs/>
</ds:datastoreItem>
</file>

<file path=customXml/itemProps5.xml><?xml version="1.0" encoding="utf-8"?>
<ds:datastoreItem xmlns:ds="http://schemas.openxmlformats.org/officeDocument/2006/customXml" ds:itemID="{0b9ad7f9-8d86-4b2e-83f6-8c9e0247ec79}">
  <ds:schemaRefs/>
</ds:datastoreItem>
</file>

<file path=docProps/app.xml><?xml version="1.0" encoding="utf-8"?>
<Properties xmlns="http://schemas.openxmlformats.org/officeDocument/2006/extended-properties" xmlns:vt="http://schemas.openxmlformats.org/officeDocument/2006/docPropsVTypes">
  <Template>SSEReport.dotm</Template>
  <Pages>9</Pages>
  <Words>1487</Words>
  <Characters>1702</Characters>
  <Lines>36</Lines>
  <Paragraphs>10</Paragraphs>
  <TotalTime>45</TotalTime>
  <ScaleCrop>false</ScaleCrop>
  <LinksUpToDate>false</LinksUpToDate>
  <CharactersWithSpaces>1719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2026-03-23T16:17:00Z</dcterms:created>
  <dc:creator>yangzhiquan</dc:creator>
  <cp:lastModifiedBy>Nanrui</cp:lastModifiedBy>
  <dcterms:modified xsi:type="dcterms:W3CDTF">2026-03-24T09:11:23Z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2052-12.1.0.25225</vt:lpwstr>
  </property>
  <property fmtid="{D5CDD505-2E9C-101B-9397-08002B2CF9AE}" pid="4" name="ICV">
    <vt:lpwstr>4C56C3DDADC64D99A60285259456BB82_12</vt:lpwstr>
  </property>
</Properties>
</file>