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4E845" w14:textId="77777777" w:rsidR="005C63A5" w:rsidRDefault="0068500F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证券代码：</w:t>
      </w:r>
      <w:r>
        <w:rPr>
          <w:rFonts w:asciiTheme="minorEastAsia" w:eastAsiaTheme="minorEastAsia" w:hAnsiTheme="minorEastAsia"/>
          <w:sz w:val="24"/>
          <w:szCs w:val="24"/>
        </w:rPr>
        <w:t>603858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>证券简称：</w:t>
      </w:r>
      <w:r>
        <w:rPr>
          <w:rFonts w:asciiTheme="minorEastAsia" w:eastAsiaTheme="minorEastAsia" w:hAnsiTheme="minorEastAsia" w:hint="eastAsia"/>
          <w:sz w:val="24"/>
          <w:szCs w:val="24"/>
        </w:rPr>
        <w:t>步长</w:t>
      </w:r>
      <w:r>
        <w:rPr>
          <w:rFonts w:asciiTheme="minorEastAsia" w:eastAsiaTheme="minorEastAsia" w:hAnsiTheme="minorEastAsia"/>
          <w:sz w:val="24"/>
          <w:szCs w:val="24"/>
        </w:rPr>
        <w:t>制药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/>
          <w:sz w:val="24"/>
          <w:szCs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>公告编号：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-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022</w:t>
      </w:r>
    </w:p>
    <w:p w14:paraId="3FF16EB9" w14:textId="77777777" w:rsidR="005C63A5" w:rsidRDefault="005C63A5">
      <w:pPr>
        <w:spacing w:line="360" w:lineRule="auto"/>
        <w:ind w:firstLine="723"/>
        <w:jc w:val="center"/>
        <w:rPr>
          <w:rFonts w:ascii="黑体" w:eastAsia="黑体" w:hAnsi="黑体"/>
          <w:b/>
          <w:color w:val="FF0000"/>
          <w:sz w:val="36"/>
          <w:szCs w:val="36"/>
        </w:rPr>
      </w:pPr>
    </w:p>
    <w:p w14:paraId="32F394E3" w14:textId="77777777" w:rsidR="005C63A5" w:rsidRDefault="0068500F">
      <w:pPr>
        <w:spacing w:beforeLines="50" w:before="120" w:afterLines="50" w:after="120" w:line="300" w:lineRule="auto"/>
        <w:jc w:val="center"/>
        <w:rPr>
          <w:rFonts w:ascii="黑体" w:eastAsia="黑体" w:hAnsi="黑体" w:cs="黑体"/>
          <w:b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b/>
          <w:color w:val="FF0000"/>
          <w:sz w:val="32"/>
          <w:szCs w:val="32"/>
        </w:rPr>
        <w:t>山东步长制药股份有限公司</w:t>
      </w:r>
    </w:p>
    <w:p w14:paraId="439054DB" w14:textId="77777777" w:rsidR="005C63A5" w:rsidRDefault="0068500F">
      <w:pPr>
        <w:spacing w:beforeLines="50" w:before="120" w:afterLines="50" w:after="120" w:line="300" w:lineRule="auto"/>
        <w:jc w:val="center"/>
        <w:rPr>
          <w:rFonts w:ascii="黑体" w:eastAsia="黑体" w:hAnsi="黑体" w:cs="黑体"/>
          <w:b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b/>
          <w:color w:val="FF0000"/>
          <w:sz w:val="32"/>
          <w:szCs w:val="32"/>
        </w:rPr>
        <w:t>关于子公司</w:t>
      </w:r>
      <w:r>
        <w:rPr>
          <w:rFonts w:ascii="黑体" w:eastAsia="黑体" w:hAnsi="黑体" w:cs="黑体" w:hint="eastAsia"/>
          <w:b/>
          <w:color w:val="FF0000"/>
          <w:sz w:val="32"/>
          <w:szCs w:val="32"/>
        </w:rPr>
        <w:t>部分</w:t>
      </w:r>
      <w:r>
        <w:rPr>
          <w:rFonts w:ascii="黑体" w:eastAsia="黑体" w:hAnsi="黑体" w:cs="黑体" w:hint="eastAsia"/>
          <w:b/>
          <w:color w:val="FF0000"/>
          <w:sz w:val="32"/>
          <w:szCs w:val="32"/>
        </w:rPr>
        <w:t>药品在国家组织集采药品协议期满品种</w:t>
      </w:r>
    </w:p>
    <w:p w14:paraId="477FEB56" w14:textId="77777777" w:rsidR="005C63A5" w:rsidRDefault="0068500F">
      <w:pPr>
        <w:spacing w:beforeLines="50" w:before="120" w:afterLines="50" w:after="120" w:line="300" w:lineRule="auto"/>
        <w:jc w:val="center"/>
        <w:rPr>
          <w:rFonts w:asciiTheme="minorEastAsia" w:eastAsiaTheme="minorEastAsia" w:hAnsiTheme="minorEastAsia"/>
          <w:b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b/>
          <w:color w:val="FF0000"/>
          <w:sz w:val="32"/>
          <w:szCs w:val="32"/>
        </w:rPr>
        <w:t>接续采购中拟中选的公告</w:t>
      </w:r>
    </w:p>
    <w:p w14:paraId="6C95F76D" w14:textId="77777777" w:rsidR="005C63A5" w:rsidRDefault="0068500F">
      <w:pPr>
        <w:pBdr>
          <w:top w:val="single" w:sz="4" w:space="1" w:color="000000"/>
          <w:left w:val="single" w:sz="4" w:space="10" w:color="000000"/>
          <w:bottom w:val="single" w:sz="4" w:space="9" w:color="000000"/>
          <w:right w:val="single" w:sz="4" w:space="4" w:color="000000"/>
        </w:pBdr>
        <w:spacing w:line="520" w:lineRule="exact"/>
        <w:ind w:left="360" w:firstLine="48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本公司</w:t>
      </w:r>
      <w:r>
        <w:rPr>
          <w:rFonts w:ascii="宋体" w:hAnsi="宋体" w:cs="宋体" w:hint="eastAsia"/>
          <w:sz w:val="24"/>
          <w:szCs w:val="24"/>
        </w:rPr>
        <w:t>董事会</w:t>
      </w:r>
      <w:r>
        <w:rPr>
          <w:rFonts w:ascii="Times New Roman" w:eastAsia="Calibri" w:hAnsi="Times New Roman"/>
          <w:sz w:val="24"/>
          <w:szCs w:val="24"/>
        </w:rPr>
        <w:t>及全体董事保证</w:t>
      </w:r>
      <w:r>
        <w:rPr>
          <w:rFonts w:ascii="宋体" w:hAnsi="宋体" w:cs="宋体" w:hint="eastAsia"/>
          <w:sz w:val="24"/>
          <w:szCs w:val="24"/>
        </w:rPr>
        <w:t>本</w:t>
      </w:r>
      <w:r>
        <w:rPr>
          <w:rFonts w:ascii="Times New Roman" w:eastAsia="Calibri" w:hAnsi="Times New Roman"/>
          <w:sz w:val="24"/>
          <w:szCs w:val="24"/>
        </w:rPr>
        <w:t>公告内容不存在</w:t>
      </w:r>
      <w:r>
        <w:rPr>
          <w:rFonts w:ascii="宋体" w:hAnsi="宋体" w:cs="宋体" w:hint="eastAsia"/>
          <w:sz w:val="24"/>
          <w:szCs w:val="24"/>
        </w:rPr>
        <w:t>任何</w:t>
      </w:r>
      <w:r>
        <w:rPr>
          <w:rFonts w:ascii="Times New Roman" w:eastAsia="Calibri" w:hAnsi="Times New Roman"/>
          <w:sz w:val="24"/>
          <w:szCs w:val="24"/>
        </w:rPr>
        <w:t>虚假记载、误导性陈述或者重大遗漏，并对其内容的真实性、准确</w:t>
      </w:r>
      <w:r>
        <w:rPr>
          <w:rFonts w:ascii="宋体" w:hAnsi="宋体" w:cs="宋体" w:hint="eastAsia"/>
          <w:sz w:val="24"/>
          <w:szCs w:val="24"/>
        </w:rPr>
        <w:t>性</w:t>
      </w:r>
      <w:r>
        <w:rPr>
          <w:rFonts w:ascii="Times New Roman" w:eastAsia="Calibri" w:hAnsi="Times New Roman"/>
          <w:sz w:val="24"/>
          <w:szCs w:val="24"/>
        </w:rPr>
        <w:t>和完整</w:t>
      </w:r>
      <w:r>
        <w:rPr>
          <w:rFonts w:ascii="宋体" w:hAnsi="宋体" w:cs="宋体" w:hint="eastAsia"/>
          <w:sz w:val="24"/>
          <w:szCs w:val="24"/>
        </w:rPr>
        <w:t>性</w:t>
      </w:r>
      <w:r>
        <w:rPr>
          <w:rFonts w:ascii="Times New Roman" w:eastAsia="Calibri" w:hAnsi="Times New Roman"/>
          <w:sz w:val="24"/>
          <w:szCs w:val="24"/>
        </w:rPr>
        <w:t>承担</w:t>
      </w:r>
      <w:r>
        <w:rPr>
          <w:rFonts w:ascii="宋体" w:hAnsi="宋体" w:cs="宋体" w:hint="eastAsia"/>
          <w:sz w:val="24"/>
          <w:szCs w:val="24"/>
        </w:rPr>
        <w:t>法律</w:t>
      </w:r>
      <w:r>
        <w:rPr>
          <w:rFonts w:ascii="Times New Roman" w:eastAsia="Calibri" w:hAnsi="Times New Roman"/>
          <w:sz w:val="24"/>
          <w:szCs w:val="24"/>
        </w:rPr>
        <w:t>责任。</w:t>
      </w:r>
    </w:p>
    <w:p w14:paraId="07BA1DC2" w14:textId="77777777" w:rsidR="005C63A5" w:rsidRDefault="005C63A5">
      <w:pPr>
        <w:pBdr>
          <w:bottom w:val="none" w:sz="0" w:space="1" w:color="000000"/>
        </w:pBdr>
        <w:ind w:firstLineChars="200" w:firstLine="482"/>
        <w:rPr>
          <w:rFonts w:ascii="Times New Roman" w:eastAsiaTheme="minorEastAsia" w:hAnsi="Times New Roman"/>
          <w:b/>
          <w:sz w:val="24"/>
          <w:szCs w:val="24"/>
        </w:rPr>
      </w:pPr>
    </w:p>
    <w:p w14:paraId="4C0C412E" w14:textId="77777777" w:rsidR="005C63A5" w:rsidRDefault="0068500F">
      <w:pPr>
        <w:pStyle w:val="af0"/>
        <w:pBdr>
          <w:bottom w:val="none" w:sz="0" w:space="1" w:color="000000"/>
        </w:pBdr>
        <w:spacing w:beforeLines="50" w:before="120" w:afterLines="50" w:after="12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近日</w:t>
      </w:r>
      <w:r>
        <w:rPr>
          <w:rFonts w:asciiTheme="minorEastAsia" w:eastAsiaTheme="minorEastAsia" w:hAnsiTheme="minorEastAsia" w:hint="eastAsia"/>
          <w:sz w:val="24"/>
          <w:szCs w:val="24"/>
        </w:rPr>
        <w:t>，山东步长制药股份有限公司（以下简称“公司”）</w:t>
      </w:r>
      <w:r>
        <w:rPr>
          <w:rFonts w:asciiTheme="minorEastAsia" w:eastAsiaTheme="minorEastAsia" w:hAnsiTheme="minorEastAsia" w:hint="eastAsia"/>
          <w:sz w:val="24"/>
          <w:szCs w:val="24"/>
        </w:rPr>
        <w:t>全资</w:t>
      </w:r>
      <w:r>
        <w:rPr>
          <w:rFonts w:asciiTheme="minorEastAsia" w:eastAsiaTheme="minorEastAsia" w:hAnsiTheme="minorEastAsia" w:hint="eastAsia"/>
          <w:sz w:val="24"/>
          <w:szCs w:val="24"/>
        </w:rPr>
        <w:t>子公司陕西步长高新制药有限公司</w:t>
      </w:r>
      <w:r>
        <w:rPr>
          <w:rFonts w:asciiTheme="minorEastAsia" w:eastAsiaTheme="minorEastAsia" w:hAnsiTheme="minorEastAsia" w:hint="eastAsia"/>
          <w:sz w:val="24"/>
          <w:szCs w:val="24"/>
        </w:rPr>
        <w:t>、陕西步长制药有限公司、山东丹红制药有限公司、</w:t>
      </w:r>
      <w:r>
        <w:rPr>
          <w:rFonts w:asciiTheme="minorEastAsia" w:eastAsiaTheme="minorEastAsia" w:hAnsiTheme="minorEastAsia" w:hint="eastAsia"/>
          <w:sz w:val="24"/>
          <w:szCs w:val="24"/>
        </w:rPr>
        <w:t>控股子公司</w:t>
      </w:r>
      <w:r>
        <w:rPr>
          <w:rFonts w:asciiTheme="minorEastAsia" w:eastAsiaTheme="minorEastAsia" w:hAnsiTheme="minorEastAsia" w:hint="eastAsia"/>
          <w:sz w:val="24"/>
          <w:szCs w:val="24"/>
        </w:rPr>
        <w:t>吉林天成制药有限公司</w:t>
      </w:r>
      <w:r>
        <w:rPr>
          <w:rFonts w:asciiTheme="minorEastAsia" w:eastAsiaTheme="minorEastAsia" w:hAnsiTheme="minorEastAsia" w:hint="eastAsia"/>
          <w:sz w:val="24"/>
          <w:szCs w:val="24"/>
        </w:rPr>
        <w:t>参加了国家组织集采药品协议期满品种接续采购办公室</w:t>
      </w: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以下简称“接续采购办公室”</w:t>
      </w:r>
      <w:r>
        <w:rPr>
          <w:rFonts w:asciiTheme="minorEastAsia" w:eastAsiaTheme="minorEastAsia" w:hAnsiTheme="minorEastAsia" w:hint="eastAsia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</w:rPr>
        <w:t>组织的集采药品协议期满品种接续采购</w:t>
      </w: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以下简称“本次接续采购”</w:t>
      </w:r>
      <w:r>
        <w:rPr>
          <w:rFonts w:asciiTheme="minorEastAsia" w:eastAsiaTheme="minorEastAsia" w:hAnsiTheme="minorEastAsia" w:hint="eastAsia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</w:rPr>
        <w:t>。根据接续采购办公室于</w:t>
      </w:r>
      <w:r>
        <w:rPr>
          <w:rFonts w:asciiTheme="minorEastAsia" w:eastAsiaTheme="minorEastAsia" w:hAnsiTheme="minorEastAsia" w:hint="eastAsia"/>
          <w:sz w:val="24"/>
          <w:szCs w:val="24"/>
        </w:rPr>
        <w:t>2026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10</w:t>
      </w:r>
      <w:r>
        <w:rPr>
          <w:rFonts w:asciiTheme="minorEastAsia" w:eastAsiaTheme="minorEastAsia" w:hAnsiTheme="minorEastAsia" w:hint="eastAsia"/>
          <w:sz w:val="24"/>
          <w:szCs w:val="24"/>
        </w:rPr>
        <w:t>日发布的《国家组织集采药品协议期满品种接续采购拟中选结果公示》，</w:t>
      </w:r>
      <w:r>
        <w:rPr>
          <w:rFonts w:asciiTheme="minorEastAsia" w:eastAsiaTheme="minorEastAsia" w:hAnsiTheme="minorEastAsia" w:hint="eastAsia"/>
          <w:sz w:val="24"/>
          <w:szCs w:val="24"/>
        </w:rPr>
        <w:t>子</w:t>
      </w:r>
      <w:r>
        <w:rPr>
          <w:rFonts w:asciiTheme="minorEastAsia" w:eastAsiaTheme="minorEastAsia" w:hAnsiTheme="minorEastAsia" w:hint="eastAsia"/>
          <w:sz w:val="24"/>
          <w:szCs w:val="24"/>
        </w:rPr>
        <w:t>公司部分药品拟中选本次接续采购。现将相关情况公告如下：</w:t>
      </w:r>
    </w:p>
    <w:p w14:paraId="0C6447C3" w14:textId="77777777" w:rsidR="005C63A5" w:rsidRDefault="0068500F">
      <w:pPr>
        <w:pStyle w:val="af0"/>
        <w:numPr>
          <w:ilvl w:val="0"/>
          <w:numId w:val="1"/>
        </w:numPr>
        <w:pBdr>
          <w:bottom w:val="none" w:sz="0" w:space="1" w:color="000000"/>
        </w:pBdr>
        <w:spacing w:beforeLines="50" w:before="120" w:afterLines="50" w:after="120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拟中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药品基本情况</w:t>
      </w:r>
    </w:p>
    <w:tbl>
      <w:tblPr>
        <w:tblStyle w:val="ad"/>
        <w:tblW w:w="9618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487"/>
        <w:gridCol w:w="5767"/>
        <w:gridCol w:w="936"/>
      </w:tblGrid>
      <w:tr w:rsidR="005C63A5" w14:paraId="6CBBF4F3" w14:textId="77777777">
        <w:trPr>
          <w:trHeight w:val="102"/>
          <w:tblHeader/>
        </w:trPr>
        <w:tc>
          <w:tcPr>
            <w:tcW w:w="1428" w:type="dxa"/>
            <w:vAlign w:val="center"/>
          </w:tcPr>
          <w:p w14:paraId="38AD6D3F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拟中选企业</w:t>
            </w:r>
          </w:p>
        </w:tc>
        <w:tc>
          <w:tcPr>
            <w:tcW w:w="1487" w:type="dxa"/>
            <w:vAlign w:val="center"/>
          </w:tcPr>
          <w:p w14:paraId="6464571D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药品名称</w:t>
            </w:r>
          </w:p>
        </w:tc>
        <w:tc>
          <w:tcPr>
            <w:tcW w:w="5767" w:type="dxa"/>
            <w:vAlign w:val="center"/>
          </w:tcPr>
          <w:p w14:paraId="4080F282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适应症</w:t>
            </w:r>
          </w:p>
        </w:tc>
        <w:tc>
          <w:tcPr>
            <w:tcW w:w="936" w:type="dxa"/>
            <w:vAlign w:val="center"/>
          </w:tcPr>
          <w:p w14:paraId="1E980238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规格</w:t>
            </w:r>
          </w:p>
        </w:tc>
      </w:tr>
      <w:tr w:rsidR="005C63A5" w14:paraId="17B9A608" w14:textId="77777777">
        <w:trPr>
          <w:trHeight w:val="102"/>
        </w:trPr>
        <w:tc>
          <w:tcPr>
            <w:tcW w:w="1428" w:type="dxa"/>
            <w:vMerge w:val="restart"/>
            <w:vAlign w:val="center"/>
          </w:tcPr>
          <w:p w14:paraId="113F01E8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陕西步长高新制药有限公司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72F65F6B" w14:textId="77777777" w:rsidR="005C63A5" w:rsidRDefault="0068500F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苯磺酸氨氯地平片</w:t>
            </w:r>
          </w:p>
        </w:tc>
        <w:tc>
          <w:tcPr>
            <w:tcW w:w="5767" w:type="dxa"/>
            <w:shd w:val="clear" w:color="auto" w:fill="auto"/>
            <w:vAlign w:val="center"/>
          </w:tcPr>
          <w:p w14:paraId="5F84D25E" w14:textId="77777777" w:rsidR="005C63A5" w:rsidRDefault="0068500F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用于高血压、慢性稳定性心绞痛、血管痉挛性心绞痛以及经血管造影证实的冠心病。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2061B44" w14:textId="77777777" w:rsidR="005C63A5" w:rsidRDefault="0068500F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5mg</w:t>
            </w:r>
          </w:p>
        </w:tc>
      </w:tr>
      <w:tr w:rsidR="005C63A5" w14:paraId="37D8766B" w14:textId="77777777">
        <w:trPr>
          <w:trHeight w:val="102"/>
        </w:trPr>
        <w:tc>
          <w:tcPr>
            <w:tcW w:w="1428" w:type="dxa"/>
            <w:vMerge/>
            <w:vAlign w:val="center"/>
          </w:tcPr>
          <w:p w14:paraId="0545D701" w14:textId="77777777" w:rsidR="005C63A5" w:rsidRDefault="005C63A5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0D4834D" w14:textId="77777777" w:rsidR="005C63A5" w:rsidRDefault="0068500F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利伐沙班片</w:t>
            </w:r>
          </w:p>
        </w:tc>
        <w:tc>
          <w:tcPr>
            <w:tcW w:w="5767" w:type="dxa"/>
            <w:shd w:val="clear" w:color="auto" w:fill="auto"/>
            <w:vAlign w:val="center"/>
          </w:tcPr>
          <w:p w14:paraId="2997486C" w14:textId="77777777" w:rsidR="005C63A5" w:rsidRDefault="0068500F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、择期髋关节或膝关节置换手术成年患者，以预防静脉血栓形成（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VTE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、治疗成人深静脉血栓形成（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DVT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）和肺栓塞（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PE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）；在完成至少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个月初始治疗后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DVT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PE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复发风险持续存在的患者中，用于降低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DVT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PE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复发的风险。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、具有一种或多种危险因素（例如：充血性心力衰竭、高血压、年龄≥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75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岁、糖尿病、卒中或短暂性脑缺血发作病史）的非瓣膜性房颤成年患者，以降低卒中和体循环栓塞的风险。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32E5E01" w14:textId="77777777" w:rsidR="005C63A5" w:rsidRDefault="0068500F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10mg</w:t>
            </w:r>
          </w:p>
        </w:tc>
      </w:tr>
      <w:tr w:rsidR="005C63A5" w14:paraId="05F8F911" w14:textId="77777777">
        <w:trPr>
          <w:trHeight w:val="441"/>
        </w:trPr>
        <w:tc>
          <w:tcPr>
            <w:tcW w:w="1428" w:type="dxa"/>
            <w:vMerge/>
            <w:vAlign w:val="center"/>
          </w:tcPr>
          <w:p w14:paraId="3E23C02A" w14:textId="77777777" w:rsidR="005C63A5" w:rsidRDefault="005C63A5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14:paraId="6C8F552B" w14:textId="77777777" w:rsidR="005C63A5" w:rsidRDefault="0068500F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酒石酸美托洛尔片</w:t>
            </w:r>
          </w:p>
        </w:tc>
        <w:tc>
          <w:tcPr>
            <w:tcW w:w="5767" w:type="dxa"/>
            <w:vMerge w:val="restart"/>
            <w:shd w:val="clear" w:color="auto" w:fill="auto"/>
            <w:vAlign w:val="center"/>
          </w:tcPr>
          <w:p w14:paraId="02E422C3" w14:textId="77777777" w:rsidR="005C63A5" w:rsidRDefault="0068500F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用于治疗高血压、心绞痛、心肌梗死、肥厚型心肌病、主动脉夹层、心律失常、甲状腺功能亢进、心脏神经官能症等。近年来尚用于心力衰竭的治疗。</w:t>
            </w:r>
          </w:p>
        </w:tc>
        <w:tc>
          <w:tcPr>
            <w:tcW w:w="936" w:type="dxa"/>
            <w:vAlign w:val="center"/>
          </w:tcPr>
          <w:p w14:paraId="74411A4D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25mg</w:t>
            </w:r>
          </w:p>
        </w:tc>
      </w:tr>
      <w:tr w:rsidR="005C63A5" w14:paraId="32CD0FB1" w14:textId="77777777">
        <w:trPr>
          <w:trHeight w:val="102"/>
        </w:trPr>
        <w:tc>
          <w:tcPr>
            <w:tcW w:w="1428" w:type="dxa"/>
            <w:vMerge/>
            <w:vAlign w:val="center"/>
          </w:tcPr>
          <w:p w14:paraId="36F068E6" w14:textId="77777777" w:rsidR="005C63A5" w:rsidRDefault="005C63A5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87" w:type="dxa"/>
            <w:vMerge/>
            <w:vAlign w:val="center"/>
          </w:tcPr>
          <w:p w14:paraId="70E46731" w14:textId="77777777" w:rsidR="005C63A5" w:rsidRDefault="005C63A5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767" w:type="dxa"/>
            <w:vMerge/>
            <w:vAlign w:val="center"/>
          </w:tcPr>
          <w:p w14:paraId="20E34884" w14:textId="77777777" w:rsidR="005C63A5" w:rsidRDefault="005C63A5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1CAE46C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50mg</w:t>
            </w:r>
          </w:p>
        </w:tc>
      </w:tr>
      <w:tr w:rsidR="005C63A5" w14:paraId="266E63A8" w14:textId="77777777">
        <w:trPr>
          <w:trHeight w:val="102"/>
        </w:trPr>
        <w:tc>
          <w:tcPr>
            <w:tcW w:w="1428" w:type="dxa"/>
            <w:vMerge w:val="restart"/>
            <w:vAlign w:val="center"/>
          </w:tcPr>
          <w:p w14:paraId="748F151D" w14:textId="699E861A" w:rsidR="005C63A5" w:rsidRDefault="00207DFD" w:rsidP="00207DFD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7DF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陕西步长制药有限公司</w:t>
            </w:r>
          </w:p>
        </w:tc>
        <w:tc>
          <w:tcPr>
            <w:tcW w:w="1487" w:type="dxa"/>
            <w:vMerge w:val="restart"/>
            <w:vAlign w:val="center"/>
          </w:tcPr>
          <w:p w14:paraId="13364975" w14:textId="77777777" w:rsidR="005C63A5" w:rsidRDefault="0068500F" w:rsidP="00207DFD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拉考沙胺片</w:t>
            </w:r>
          </w:p>
        </w:tc>
        <w:tc>
          <w:tcPr>
            <w:tcW w:w="5767" w:type="dxa"/>
            <w:vMerge w:val="restart"/>
            <w:vAlign w:val="center"/>
          </w:tcPr>
          <w:p w14:paraId="5B87BEA9" w14:textId="77777777" w:rsidR="005C63A5" w:rsidRDefault="0068500F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用于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岁及以上癫痫患者部分性发作的单药治疗和联合治疗。</w:t>
            </w:r>
          </w:p>
        </w:tc>
        <w:tc>
          <w:tcPr>
            <w:tcW w:w="936" w:type="dxa"/>
            <w:vAlign w:val="center"/>
          </w:tcPr>
          <w:p w14:paraId="73CEB516" w14:textId="77777777" w:rsidR="005C63A5" w:rsidRDefault="0068500F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50mg</w:t>
            </w:r>
          </w:p>
        </w:tc>
      </w:tr>
      <w:tr w:rsidR="005C63A5" w14:paraId="6C978AB4" w14:textId="77777777">
        <w:trPr>
          <w:trHeight w:val="102"/>
        </w:trPr>
        <w:tc>
          <w:tcPr>
            <w:tcW w:w="1428" w:type="dxa"/>
            <w:vMerge/>
            <w:vAlign w:val="center"/>
          </w:tcPr>
          <w:p w14:paraId="58A68CDE" w14:textId="77777777" w:rsidR="005C63A5" w:rsidRDefault="005C63A5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vMerge/>
            <w:vAlign w:val="center"/>
          </w:tcPr>
          <w:p w14:paraId="23D55CAC" w14:textId="77777777" w:rsidR="005C63A5" w:rsidRDefault="005C63A5" w:rsidP="00207DFD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767" w:type="dxa"/>
            <w:vMerge/>
            <w:vAlign w:val="center"/>
          </w:tcPr>
          <w:p w14:paraId="5B896F4F" w14:textId="77777777" w:rsidR="005C63A5" w:rsidRDefault="005C63A5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D767E6B" w14:textId="77777777" w:rsidR="005C63A5" w:rsidRDefault="0068500F">
            <w:pPr>
              <w:pStyle w:val="af0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100mg</w:t>
            </w:r>
          </w:p>
        </w:tc>
      </w:tr>
      <w:tr w:rsidR="005C63A5" w14:paraId="1E97C5D4" w14:textId="77777777">
        <w:trPr>
          <w:trHeight w:val="102"/>
        </w:trPr>
        <w:tc>
          <w:tcPr>
            <w:tcW w:w="1428" w:type="dxa"/>
            <w:vAlign w:val="center"/>
          </w:tcPr>
          <w:p w14:paraId="206352D3" w14:textId="77777777" w:rsidR="005C63A5" w:rsidRDefault="0068500F" w:rsidP="00207DFD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7DF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山东丹红制药有限公司</w:t>
            </w:r>
          </w:p>
        </w:tc>
        <w:tc>
          <w:tcPr>
            <w:tcW w:w="1487" w:type="dxa"/>
            <w:vAlign w:val="center"/>
          </w:tcPr>
          <w:p w14:paraId="403B9D3A" w14:textId="77777777" w:rsidR="005C63A5" w:rsidRDefault="0068500F" w:rsidP="00207DFD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普瑞巴林胶囊</w:t>
            </w:r>
          </w:p>
        </w:tc>
        <w:tc>
          <w:tcPr>
            <w:tcW w:w="5767" w:type="dxa"/>
            <w:vAlign w:val="center"/>
          </w:tcPr>
          <w:p w14:paraId="5CDFD2E9" w14:textId="77777777" w:rsidR="005C63A5" w:rsidRDefault="0068500F" w:rsidP="00207DFD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用于治疗带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状疱疹后神经痛、纤维肌痛。</w:t>
            </w:r>
          </w:p>
        </w:tc>
        <w:tc>
          <w:tcPr>
            <w:tcW w:w="936" w:type="dxa"/>
            <w:vAlign w:val="center"/>
          </w:tcPr>
          <w:p w14:paraId="294E2AA3" w14:textId="77777777" w:rsidR="005C63A5" w:rsidRDefault="0068500F" w:rsidP="00207DFD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75mg</w:t>
            </w:r>
          </w:p>
        </w:tc>
      </w:tr>
      <w:tr w:rsidR="005C63A5" w14:paraId="6B036F11" w14:textId="77777777">
        <w:trPr>
          <w:trHeight w:val="102"/>
        </w:trPr>
        <w:tc>
          <w:tcPr>
            <w:tcW w:w="1428" w:type="dxa"/>
            <w:shd w:val="clear" w:color="auto" w:fill="auto"/>
            <w:vAlign w:val="center"/>
          </w:tcPr>
          <w:p w14:paraId="429F441B" w14:textId="77777777" w:rsidR="005C63A5" w:rsidRDefault="0068500F" w:rsidP="00207DFD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7DF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吉林天成制药有限公司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8E7DA1A" w14:textId="77777777" w:rsidR="005C63A5" w:rsidRDefault="0068500F" w:rsidP="00207DFD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托拉塞米注射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液</w:t>
            </w:r>
          </w:p>
        </w:tc>
        <w:tc>
          <w:tcPr>
            <w:tcW w:w="5767" w:type="dxa"/>
            <w:shd w:val="clear" w:color="auto" w:fill="auto"/>
            <w:vAlign w:val="center"/>
          </w:tcPr>
          <w:p w14:paraId="57DFCF1B" w14:textId="77777777" w:rsidR="005C63A5" w:rsidRDefault="0068500F" w:rsidP="00207DFD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适用于需要迅速利尿或不能口服利尿的充血性心力衰竭、肝硬化腹水、肾脏疾病所致的水肿患者。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E58DA4D" w14:textId="77777777" w:rsidR="005C63A5" w:rsidRDefault="0068500F" w:rsidP="00207DFD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2ml:10mg</w:t>
            </w:r>
          </w:p>
        </w:tc>
      </w:tr>
    </w:tbl>
    <w:p w14:paraId="7B75EEC0" w14:textId="77777777" w:rsidR="005C63A5" w:rsidRDefault="0068500F">
      <w:pPr>
        <w:pStyle w:val="af0"/>
        <w:spacing w:beforeLines="50" w:before="120" w:afterLines="50" w:after="12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：根据本次接续采购规则，公司暂无法计算拟供应数量；</w:t>
      </w:r>
    </w:p>
    <w:p w14:paraId="032F429B" w14:textId="77777777" w:rsidR="005C63A5" w:rsidRDefault="0068500F">
      <w:pPr>
        <w:pStyle w:val="af0"/>
        <w:spacing w:beforeLines="50" w:before="120" w:afterLines="50" w:after="12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：本次拟中选药品的采购周期为自中选结果</w:t>
      </w:r>
      <w:r>
        <w:rPr>
          <w:rFonts w:asciiTheme="minorEastAsia" w:eastAsiaTheme="minorEastAsia" w:hAnsiTheme="minorEastAsia" w:hint="eastAsia"/>
          <w:sz w:val="24"/>
          <w:szCs w:val="24"/>
        </w:rPr>
        <w:t>实际</w:t>
      </w:r>
      <w:r>
        <w:rPr>
          <w:rFonts w:asciiTheme="minorEastAsia" w:eastAsiaTheme="minorEastAsia" w:hAnsiTheme="minorEastAsia" w:hint="eastAsia"/>
          <w:sz w:val="24"/>
          <w:szCs w:val="24"/>
        </w:rPr>
        <w:t>执行日起至</w:t>
      </w:r>
      <w:r>
        <w:rPr>
          <w:rFonts w:asciiTheme="minorEastAsia" w:eastAsiaTheme="minorEastAsia" w:hAnsiTheme="minorEastAsia" w:hint="eastAsia"/>
          <w:sz w:val="24"/>
          <w:szCs w:val="24"/>
        </w:rPr>
        <w:t>2028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12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31</w:t>
      </w:r>
      <w:r>
        <w:rPr>
          <w:rFonts w:asciiTheme="minorEastAsia" w:eastAsiaTheme="minorEastAsia" w:hAnsiTheme="minorEastAsia" w:hint="eastAsia"/>
          <w:sz w:val="24"/>
          <w:szCs w:val="24"/>
        </w:rPr>
        <w:t>日。</w:t>
      </w:r>
    </w:p>
    <w:p w14:paraId="4AD276DB" w14:textId="77777777" w:rsidR="005C63A5" w:rsidRDefault="0068500F">
      <w:pPr>
        <w:pStyle w:val="af0"/>
        <w:spacing w:beforeLines="50" w:before="120" w:afterLines="50" w:after="120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二、此次拟中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对公司的影响</w:t>
      </w:r>
    </w:p>
    <w:p w14:paraId="7A9040DF" w14:textId="77777777" w:rsidR="005C63A5" w:rsidRDefault="0068500F">
      <w:pPr>
        <w:pStyle w:val="af0"/>
        <w:spacing w:beforeLines="50" w:before="120" w:afterLines="50" w:after="12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拟中选产品</w:t>
      </w:r>
      <w:r>
        <w:rPr>
          <w:rFonts w:asciiTheme="minorEastAsia" w:eastAsiaTheme="minorEastAsia" w:hAnsiTheme="minorEastAsia" w:hint="eastAsia"/>
          <w:sz w:val="24"/>
          <w:szCs w:val="24"/>
        </w:rPr>
        <w:t>2024</w:t>
      </w:r>
      <w:r>
        <w:rPr>
          <w:rFonts w:asciiTheme="minorEastAsia" w:eastAsiaTheme="minorEastAsia" w:hAnsiTheme="minorEastAsia" w:hint="eastAsia"/>
          <w:sz w:val="24"/>
          <w:szCs w:val="24"/>
        </w:rPr>
        <w:t>年及</w:t>
      </w:r>
      <w:r>
        <w:rPr>
          <w:rFonts w:asciiTheme="minorEastAsia" w:eastAsiaTheme="minorEastAsia" w:hAnsiTheme="minorEastAsia" w:hint="eastAsia"/>
          <w:sz w:val="24"/>
          <w:szCs w:val="24"/>
        </w:rPr>
        <w:t>2025</w:t>
      </w:r>
      <w:r>
        <w:rPr>
          <w:rFonts w:asciiTheme="minorEastAsia" w:eastAsiaTheme="minorEastAsia" w:hAnsiTheme="minorEastAsia" w:hint="eastAsia"/>
          <w:sz w:val="24"/>
          <w:szCs w:val="24"/>
        </w:rPr>
        <w:t>年前三季度</w:t>
      </w:r>
      <w:r>
        <w:rPr>
          <w:rFonts w:asciiTheme="minorEastAsia" w:eastAsiaTheme="minorEastAsia" w:hAnsiTheme="minorEastAsia" w:hint="eastAsia"/>
          <w:sz w:val="24"/>
          <w:szCs w:val="24"/>
        </w:rPr>
        <w:t>销售</w:t>
      </w:r>
      <w:r>
        <w:rPr>
          <w:rFonts w:asciiTheme="minorEastAsia" w:eastAsiaTheme="minorEastAsia" w:hAnsiTheme="minorEastAsia" w:hint="eastAsia"/>
          <w:sz w:val="24"/>
          <w:szCs w:val="24"/>
        </w:rPr>
        <w:t>收入情况表：</w:t>
      </w:r>
    </w:p>
    <w:tbl>
      <w:tblPr>
        <w:tblStyle w:val="ad"/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220"/>
        <w:gridCol w:w="1496"/>
        <w:gridCol w:w="1672"/>
        <w:gridCol w:w="1700"/>
        <w:gridCol w:w="1991"/>
      </w:tblGrid>
      <w:tr w:rsidR="005C63A5" w14:paraId="08226DAB" w14:textId="77777777">
        <w:trPr>
          <w:tblHeader/>
          <w:jc w:val="center"/>
        </w:trPr>
        <w:tc>
          <w:tcPr>
            <w:tcW w:w="530" w:type="dxa"/>
            <w:vAlign w:val="center"/>
          </w:tcPr>
          <w:p w14:paraId="2E5B89F6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20" w:type="dxa"/>
            <w:vAlign w:val="center"/>
          </w:tcPr>
          <w:p w14:paraId="7B410776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药品名称</w:t>
            </w:r>
          </w:p>
        </w:tc>
        <w:tc>
          <w:tcPr>
            <w:tcW w:w="1496" w:type="dxa"/>
            <w:vAlign w:val="center"/>
          </w:tcPr>
          <w:p w14:paraId="7A459EA3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2024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年度销售收入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（单位：万元）</w:t>
            </w:r>
          </w:p>
        </w:tc>
        <w:tc>
          <w:tcPr>
            <w:tcW w:w="1672" w:type="dxa"/>
            <w:vAlign w:val="center"/>
          </w:tcPr>
          <w:p w14:paraId="5984C061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占公司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2024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年度营业收入比例（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%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700" w:type="dxa"/>
            <w:vAlign w:val="center"/>
          </w:tcPr>
          <w:p w14:paraId="0D958E37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2025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年前三季度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销售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收入（单位：万元）</w:t>
            </w:r>
          </w:p>
        </w:tc>
        <w:tc>
          <w:tcPr>
            <w:tcW w:w="1991" w:type="dxa"/>
            <w:vAlign w:val="center"/>
          </w:tcPr>
          <w:p w14:paraId="138119C5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占公司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2025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年前三季度营业收入比例（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%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5C63A5" w14:paraId="62464CA8" w14:textId="77777777">
        <w:trPr>
          <w:jc w:val="center"/>
        </w:trPr>
        <w:tc>
          <w:tcPr>
            <w:tcW w:w="530" w:type="dxa"/>
            <w:vAlign w:val="center"/>
          </w:tcPr>
          <w:p w14:paraId="1A8BCEF4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20" w:type="dxa"/>
            <w:vAlign w:val="center"/>
          </w:tcPr>
          <w:p w14:paraId="3A9096A2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苯磺酸氨氯地平片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170497C" w14:textId="77777777" w:rsidR="005C63A5" w:rsidRDefault="0068500F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944.61 </w:t>
            </w:r>
          </w:p>
        </w:tc>
        <w:tc>
          <w:tcPr>
            <w:tcW w:w="1672" w:type="dxa"/>
            <w:vAlign w:val="center"/>
          </w:tcPr>
          <w:p w14:paraId="2090F52E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0.0</w:t>
            </w:r>
            <w:r>
              <w:rPr>
                <w:rFonts w:ascii="宋体" w:hAnsi="宋体" w:cs="宋体" w:hint="eastAsia"/>
                <w:sz w:val="24"/>
                <w:szCs w:val="24"/>
              </w:rPr>
              <w:t>858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1A72E96" w14:textId="77777777" w:rsidR="005C63A5" w:rsidRDefault="0068500F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852.30 </w:t>
            </w:r>
          </w:p>
        </w:tc>
        <w:tc>
          <w:tcPr>
            <w:tcW w:w="1991" w:type="dxa"/>
            <w:vAlign w:val="center"/>
          </w:tcPr>
          <w:p w14:paraId="465F4F95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0.10</w:t>
            </w:r>
            <w:r>
              <w:rPr>
                <w:rFonts w:ascii="宋体" w:hAnsi="宋体" w:cs="宋体" w:hint="eastAsia"/>
                <w:sz w:val="24"/>
                <w:szCs w:val="24"/>
              </w:rPr>
              <w:t>06</w:t>
            </w:r>
          </w:p>
        </w:tc>
      </w:tr>
      <w:tr w:rsidR="005C63A5" w14:paraId="1846E932" w14:textId="77777777">
        <w:trPr>
          <w:jc w:val="center"/>
        </w:trPr>
        <w:tc>
          <w:tcPr>
            <w:tcW w:w="530" w:type="dxa"/>
            <w:vAlign w:val="center"/>
          </w:tcPr>
          <w:p w14:paraId="672874B8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20" w:type="dxa"/>
            <w:vAlign w:val="center"/>
          </w:tcPr>
          <w:p w14:paraId="04A75BEB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利伐沙班片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2059E72" w14:textId="77777777" w:rsidR="005C63A5" w:rsidRDefault="0068500F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12.41 </w:t>
            </w:r>
          </w:p>
        </w:tc>
        <w:tc>
          <w:tcPr>
            <w:tcW w:w="1672" w:type="dxa"/>
            <w:vAlign w:val="center"/>
          </w:tcPr>
          <w:p w14:paraId="25366F83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0.00</w:t>
            </w: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79A2E78" w14:textId="77777777" w:rsidR="005C63A5" w:rsidRDefault="0068500F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12.88 </w:t>
            </w:r>
          </w:p>
        </w:tc>
        <w:tc>
          <w:tcPr>
            <w:tcW w:w="1991" w:type="dxa"/>
            <w:vAlign w:val="center"/>
          </w:tcPr>
          <w:p w14:paraId="2F7B82C2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0.00</w:t>
            </w: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</w:tr>
      <w:tr w:rsidR="005C63A5" w14:paraId="645B2293" w14:textId="77777777">
        <w:trPr>
          <w:jc w:val="center"/>
        </w:trPr>
        <w:tc>
          <w:tcPr>
            <w:tcW w:w="530" w:type="dxa"/>
            <w:vAlign w:val="center"/>
          </w:tcPr>
          <w:p w14:paraId="732F40E6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20" w:type="dxa"/>
            <w:vAlign w:val="center"/>
          </w:tcPr>
          <w:p w14:paraId="37A446F9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酒石酸美托洛尔片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6946B6E" w14:textId="77777777" w:rsidR="005C63A5" w:rsidRDefault="0068500F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387.86 </w:t>
            </w:r>
          </w:p>
        </w:tc>
        <w:tc>
          <w:tcPr>
            <w:tcW w:w="1672" w:type="dxa"/>
            <w:vAlign w:val="center"/>
          </w:tcPr>
          <w:p w14:paraId="4F7CE303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0.2</w:t>
            </w:r>
            <w:r>
              <w:rPr>
                <w:rFonts w:ascii="宋体" w:hAnsi="宋体" w:cs="宋体" w:hint="eastAsia"/>
                <w:sz w:val="24"/>
                <w:szCs w:val="24"/>
              </w:rPr>
              <w:t>170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648DA98" w14:textId="77777777" w:rsidR="005C63A5" w:rsidRDefault="0068500F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907.04 </w:t>
            </w:r>
          </w:p>
        </w:tc>
        <w:tc>
          <w:tcPr>
            <w:tcW w:w="1991" w:type="dxa"/>
            <w:vAlign w:val="center"/>
          </w:tcPr>
          <w:p w14:paraId="3A5D3062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0.1</w:t>
            </w:r>
            <w:r>
              <w:rPr>
                <w:rFonts w:ascii="宋体" w:hAnsi="宋体" w:cs="宋体" w:hint="eastAsia"/>
                <w:sz w:val="24"/>
                <w:szCs w:val="24"/>
              </w:rPr>
              <w:t>071</w:t>
            </w:r>
          </w:p>
        </w:tc>
      </w:tr>
      <w:tr w:rsidR="005C63A5" w14:paraId="730F05AE" w14:textId="77777777">
        <w:trPr>
          <w:jc w:val="center"/>
        </w:trPr>
        <w:tc>
          <w:tcPr>
            <w:tcW w:w="530" w:type="dxa"/>
            <w:vAlign w:val="center"/>
          </w:tcPr>
          <w:p w14:paraId="380BB198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72455EAC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拉考沙胺片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718CD99" w14:textId="77777777" w:rsidR="005C63A5" w:rsidRDefault="0068500F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442.90 </w:t>
            </w:r>
          </w:p>
        </w:tc>
        <w:tc>
          <w:tcPr>
            <w:tcW w:w="1672" w:type="dxa"/>
            <w:vAlign w:val="center"/>
          </w:tcPr>
          <w:p w14:paraId="26F92AC8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0.04</w:t>
            </w:r>
            <w:r>
              <w:rPr>
                <w:rFonts w:ascii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9E6713E" w14:textId="77777777" w:rsidR="005C63A5" w:rsidRDefault="0068500F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555.30 </w:t>
            </w:r>
          </w:p>
        </w:tc>
        <w:tc>
          <w:tcPr>
            <w:tcW w:w="1991" w:type="dxa"/>
            <w:vAlign w:val="center"/>
          </w:tcPr>
          <w:p w14:paraId="5EAE13AE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0.0</w:t>
            </w:r>
            <w:r>
              <w:rPr>
                <w:rFonts w:ascii="宋体" w:hAnsi="宋体" w:cs="宋体" w:hint="eastAsia"/>
                <w:sz w:val="24"/>
                <w:szCs w:val="24"/>
              </w:rPr>
              <w:t>656</w:t>
            </w:r>
          </w:p>
        </w:tc>
      </w:tr>
      <w:tr w:rsidR="005C63A5" w14:paraId="49741D29" w14:textId="77777777">
        <w:trPr>
          <w:jc w:val="center"/>
        </w:trPr>
        <w:tc>
          <w:tcPr>
            <w:tcW w:w="530" w:type="dxa"/>
            <w:vAlign w:val="center"/>
          </w:tcPr>
          <w:p w14:paraId="4E681948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220" w:type="dxa"/>
            <w:vAlign w:val="center"/>
          </w:tcPr>
          <w:p w14:paraId="6BD77755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普瑞巴林胶囊</w:t>
            </w:r>
          </w:p>
        </w:tc>
        <w:tc>
          <w:tcPr>
            <w:tcW w:w="1496" w:type="dxa"/>
            <w:vAlign w:val="center"/>
          </w:tcPr>
          <w:p w14:paraId="48505FAB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672" w:type="dxa"/>
            <w:vAlign w:val="center"/>
          </w:tcPr>
          <w:p w14:paraId="74D5F94F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5385241" w14:textId="77777777" w:rsidR="005C63A5" w:rsidRDefault="0068500F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132.52 </w:t>
            </w:r>
          </w:p>
        </w:tc>
        <w:tc>
          <w:tcPr>
            <w:tcW w:w="1991" w:type="dxa"/>
            <w:vAlign w:val="center"/>
          </w:tcPr>
          <w:p w14:paraId="77E77D07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0.0</w:t>
            </w:r>
            <w:r>
              <w:rPr>
                <w:rFonts w:ascii="宋体" w:hAnsi="宋体" w:cs="宋体" w:hint="eastAsia"/>
                <w:sz w:val="24"/>
                <w:szCs w:val="24"/>
              </w:rPr>
              <w:t>156</w:t>
            </w:r>
          </w:p>
        </w:tc>
      </w:tr>
      <w:tr w:rsidR="005C63A5" w14:paraId="19D8F077" w14:textId="77777777">
        <w:trPr>
          <w:jc w:val="center"/>
        </w:trPr>
        <w:tc>
          <w:tcPr>
            <w:tcW w:w="530" w:type="dxa"/>
            <w:vAlign w:val="center"/>
          </w:tcPr>
          <w:p w14:paraId="2CBE369C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220" w:type="dxa"/>
            <w:vAlign w:val="center"/>
          </w:tcPr>
          <w:p w14:paraId="3AA61174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托拉塞米注射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液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EB29A9A" w14:textId="77777777" w:rsidR="005C63A5" w:rsidRDefault="0068500F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435.37 </w:t>
            </w:r>
          </w:p>
        </w:tc>
        <w:tc>
          <w:tcPr>
            <w:tcW w:w="1672" w:type="dxa"/>
            <w:vAlign w:val="center"/>
          </w:tcPr>
          <w:p w14:paraId="5B41BAD2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0.0</w:t>
            </w:r>
            <w:r>
              <w:rPr>
                <w:rFonts w:ascii="宋体" w:hAnsi="宋体" w:cs="宋体" w:hint="eastAsia"/>
                <w:sz w:val="24"/>
                <w:szCs w:val="24"/>
              </w:rPr>
              <w:t>396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860D27" w14:textId="77777777" w:rsidR="005C63A5" w:rsidRDefault="0068500F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421.27 </w:t>
            </w:r>
          </w:p>
        </w:tc>
        <w:tc>
          <w:tcPr>
            <w:tcW w:w="1991" w:type="dxa"/>
            <w:vAlign w:val="center"/>
          </w:tcPr>
          <w:p w14:paraId="646A8BCA" w14:textId="77777777" w:rsidR="005C63A5" w:rsidRDefault="0068500F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beforeLines="50" w:before="120" w:afterLines="50" w:after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0.0</w:t>
            </w:r>
            <w:r>
              <w:rPr>
                <w:rFonts w:ascii="宋体" w:hAnsi="宋体" w:cs="宋体" w:hint="eastAsia"/>
                <w:sz w:val="24"/>
                <w:szCs w:val="24"/>
              </w:rPr>
              <w:t>497</w:t>
            </w:r>
          </w:p>
        </w:tc>
      </w:tr>
    </w:tbl>
    <w:p w14:paraId="619AEA23" w14:textId="77777777" w:rsidR="005C63A5" w:rsidRDefault="0068500F">
      <w:pPr>
        <w:pStyle w:val="af0"/>
        <w:spacing w:beforeLines="50" w:before="120" w:afterLines="50" w:after="12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注：上述收入中</w:t>
      </w:r>
      <w:r>
        <w:rPr>
          <w:rFonts w:asciiTheme="minorEastAsia" w:eastAsiaTheme="minorEastAsia" w:hAnsiTheme="minorEastAsia" w:hint="eastAsia"/>
          <w:sz w:val="24"/>
          <w:szCs w:val="24"/>
        </w:rPr>
        <w:t>2025</w:t>
      </w:r>
      <w:r>
        <w:rPr>
          <w:rFonts w:asciiTheme="minorEastAsia" w:eastAsiaTheme="minorEastAsia" w:hAnsiTheme="minorEastAsia" w:hint="eastAsia"/>
          <w:sz w:val="24"/>
          <w:szCs w:val="24"/>
        </w:rPr>
        <w:t>年前三季度收入未经审计。</w:t>
      </w:r>
    </w:p>
    <w:p w14:paraId="34493371" w14:textId="77777777" w:rsidR="005C63A5" w:rsidRDefault="0068500F">
      <w:pPr>
        <w:pStyle w:val="af0"/>
        <w:spacing w:beforeLines="50" w:before="120" w:afterLines="50" w:after="120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次接续采购周期内，医疗机构将优先使用本次药品集中采购中选药品，并确保完成约定采购量。若拟中选产品确定中选、签订购销合同并实施，将有利于公司进一步扩大相关产品的销售，提高市场占有率，提升公司品牌影响力，对公司的未来经营业绩具有积极的影响。</w:t>
      </w:r>
    </w:p>
    <w:p w14:paraId="6CED4C2B" w14:textId="77777777" w:rsidR="005C63A5" w:rsidRDefault="0068500F">
      <w:pPr>
        <w:pStyle w:val="af0"/>
        <w:spacing w:beforeLines="50" w:before="120" w:afterLines="50" w:after="120"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三、风险提示</w:t>
      </w:r>
    </w:p>
    <w:p w14:paraId="0F41C658" w14:textId="77777777" w:rsidR="005C63A5" w:rsidRDefault="0068500F">
      <w:pPr>
        <w:pStyle w:val="af0"/>
        <w:spacing w:beforeLines="50" w:before="120" w:afterLines="50" w:after="120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上述产品的采购合同签订等后续事项尚具有不确定性。</w:t>
      </w:r>
      <w:r>
        <w:rPr>
          <w:rFonts w:asciiTheme="minorEastAsia" w:eastAsiaTheme="minorEastAsia" w:hAnsiTheme="minorEastAsia" w:hint="eastAsia"/>
          <w:sz w:val="24"/>
        </w:rPr>
        <w:t>公司将密切关注该事</w:t>
      </w:r>
      <w:r>
        <w:rPr>
          <w:rFonts w:asciiTheme="minorEastAsia" w:eastAsiaTheme="minorEastAsia" w:hAnsiTheme="minorEastAsia" w:hint="eastAsia"/>
          <w:sz w:val="24"/>
        </w:rPr>
        <w:lastRenderedPageBreak/>
        <w:t>项的进展情况并及时履行信息披露义务，敬请广大投资者谨慎决策，注意投资风险。</w:t>
      </w:r>
    </w:p>
    <w:p w14:paraId="091E09C6" w14:textId="77777777" w:rsidR="005C63A5" w:rsidRDefault="005C63A5">
      <w:pPr>
        <w:pStyle w:val="af0"/>
        <w:spacing w:beforeLines="50" w:before="120" w:afterLines="50" w:after="120"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3BD0CDA9" w14:textId="77777777" w:rsidR="005C63A5" w:rsidRDefault="0068500F">
      <w:pPr>
        <w:pStyle w:val="af0"/>
        <w:spacing w:beforeLines="50" w:before="120" w:afterLines="50" w:after="120" w:line="360" w:lineRule="auto"/>
        <w:ind w:firstLineChars="200" w:firstLine="480"/>
        <w:rPr>
          <w:rFonts w:asciiTheme="minorEastAsia" w:eastAsiaTheme="minorEastAsia" w:hAnsiTheme="minorEastAsia" w:cs="KAPJJC+ËÎÌå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14:paraId="716ED8E4" w14:textId="77777777" w:rsidR="005C63A5" w:rsidRDefault="005C63A5">
      <w:pPr>
        <w:autoSpaceDE w:val="0"/>
        <w:autoSpaceDN w:val="0"/>
        <w:spacing w:beforeLines="50" w:before="120" w:afterLines="50" w:after="120" w:line="360" w:lineRule="auto"/>
        <w:ind w:firstLineChars="200" w:firstLine="480"/>
        <w:jc w:val="right"/>
        <w:rPr>
          <w:rFonts w:asciiTheme="minorEastAsia" w:eastAsiaTheme="minorEastAsia" w:hAnsiTheme="minorEastAsia" w:cs="KAPJJC+ËÎÌå"/>
          <w:color w:val="000000"/>
          <w:sz w:val="24"/>
        </w:rPr>
      </w:pPr>
    </w:p>
    <w:p w14:paraId="06533FAE" w14:textId="77777777" w:rsidR="005C63A5" w:rsidRDefault="0068500F">
      <w:pPr>
        <w:autoSpaceDE w:val="0"/>
        <w:autoSpaceDN w:val="0"/>
        <w:spacing w:beforeLines="50" w:before="120" w:afterLines="50" w:after="120" w:line="360" w:lineRule="auto"/>
        <w:ind w:firstLineChars="200" w:firstLine="480"/>
        <w:jc w:val="right"/>
        <w:rPr>
          <w:rFonts w:asciiTheme="minorEastAsia" w:eastAsiaTheme="minorEastAsia" w:hAnsiTheme="minorEastAsia" w:cs="KAPJJC+ËÎÌå"/>
          <w:color w:val="000000"/>
          <w:sz w:val="24"/>
        </w:rPr>
      </w:pPr>
      <w:r>
        <w:rPr>
          <w:rFonts w:asciiTheme="minorEastAsia" w:eastAsiaTheme="minorEastAsia" w:hAnsiTheme="minorEastAsia" w:cs="KAPJJC+ËÎÌå" w:hint="eastAsia"/>
          <w:color w:val="000000"/>
          <w:sz w:val="24"/>
        </w:rPr>
        <w:t>山东步长制药股份有限公司董事会</w:t>
      </w:r>
    </w:p>
    <w:p w14:paraId="2FF6BCFD" w14:textId="77777777" w:rsidR="005C63A5" w:rsidRDefault="0068500F">
      <w:pPr>
        <w:autoSpaceDE w:val="0"/>
        <w:autoSpaceDN w:val="0"/>
        <w:spacing w:beforeLines="50" w:before="120" w:afterLines="50" w:after="120" w:line="360" w:lineRule="auto"/>
        <w:ind w:firstLineChars="200" w:firstLine="480"/>
        <w:jc w:val="right"/>
        <w:rPr>
          <w:rFonts w:asciiTheme="minorEastAsia" w:eastAsiaTheme="minorEastAsia" w:hAnsiTheme="minorEastAsia"/>
          <w:kern w:val="24"/>
          <w:sz w:val="24"/>
          <w:szCs w:val="24"/>
        </w:rPr>
      </w:pPr>
      <w:r>
        <w:rPr>
          <w:rFonts w:asciiTheme="minorEastAsia" w:eastAsiaTheme="minorEastAsia" w:hAnsiTheme="minorEastAsia" w:cs="KAPJJC+ËÎÌå" w:hint="eastAsia"/>
          <w:color w:val="000000"/>
          <w:sz w:val="24"/>
        </w:rPr>
        <w:t>20</w:t>
      </w:r>
      <w:r>
        <w:rPr>
          <w:rFonts w:asciiTheme="minorEastAsia" w:eastAsiaTheme="minorEastAsia" w:hAnsiTheme="minorEastAsia" w:cs="KAPJJC+ËÎÌå"/>
          <w:color w:val="000000"/>
          <w:sz w:val="24"/>
        </w:rPr>
        <w:t>2</w:t>
      </w:r>
      <w:r>
        <w:rPr>
          <w:rFonts w:asciiTheme="minorEastAsia" w:eastAsiaTheme="minorEastAsia" w:hAnsiTheme="minorEastAsia" w:cs="KAPJJC+ËÎÌå" w:hint="eastAsia"/>
          <w:color w:val="000000"/>
          <w:sz w:val="24"/>
        </w:rPr>
        <w:t>6</w:t>
      </w:r>
      <w:r>
        <w:rPr>
          <w:rFonts w:asciiTheme="minorEastAsia" w:eastAsiaTheme="minorEastAsia" w:hAnsiTheme="minorEastAsia" w:cs="KAPJJC+ËÎÌå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cs="KAPJJC+ËÎÌå" w:hint="eastAsia"/>
          <w:color w:val="000000"/>
          <w:sz w:val="24"/>
        </w:rPr>
        <w:t>2</w:t>
      </w:r>
      <w:r>
        <w:rPr>
          <w:rFonts w:asciiTheme="minorEastAsia" w:eastAsiaTheme="minorEastAsia" w:hAnsiTheme="minorEastAsia" w:cs="KAPJJC+ËÎÌå" w:hint="eastAsia"/>
          <w:color w:val="000000"/>
          <w:sz w:val="24"/>
        </w:rPr>
        <w:t>月</w:t>
      </w:r>
      <w:r>
        <w:rPr>
          <w:rFonts w:asciiTheme="minorEastAsia" w:eastAsiaTheme="minorEastAsia" w:hAnsiTheme="minorEastAsia" w:cs="KAPJJC+ËÎÌå" w:hint="eastAsia"/>
          <w:color w:val="000000"/>
          <w:sz w:val="24"/>
        </w:rPr>
        <w:t>12</w:t>
      </w:r>
      <w:r>
        <w:rPr>
          <w:rFonts w:asciiTheme="minorEastAsia" w:eastAsiaTheme="minorEastAsia" w:hAnsiTheme="minorEastAsia" w:cs="KAPJJC+ËÎÌå" w:hint="eastAsia"/>
          <w:color w:val="000000"/>
          <w:sz w:val="24"/>
        </w:rPr>
        <w:t>日</w:t>
      </w:r>
    </w:p>
    <w:sectPr w:rsidR="005C63A5">
      <w:footerReference w:type="default" r:id="rId8"/>
      <w:endnotePr>
        <w:numFmt w:val="decimal"/>
      </w:endnotePr>
      <w:pgSz w:w="11906" w:h="16838"/>
      <w:pgMar w:top="1440" w:right="1701" w:bottom="1440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D711F" w14:textId="77777777" w:rsidR="0068500F" w:rsidRDefault="0068500F">
      <w:r>
        <w:separator/>
      </w:r>
    </w:p>
  </w:endnote>
  <w:endnote w:type="continuationSeparator" w:id="0">
    <w:p w14:paraId="07288698" w14:textId="77777777" w:rsidR="0068500F" w:rsidRDefault="0068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PJJC+ËÎÌå">
    <w:altName w:val="Segoe Print"/>
    <w:charset w:val="00"/>
    <w:family w:val="auto"/>
    <w:pitch w:val="default"/>
    <w:sig w:usb0="00000000" w:usb1="00000000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689303"/>
    </w:sdtPr>
    <w:sdtEndPr/>
    <w:sdtContent>
      <w:p w14:paraId="783A7BE2" w14:textId="3FAC12E2" w:rsidR="005C63A5" w:rsidRDefault="006850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DFD" w:rsidRPr="00207DFD">
          <w:rPr>
            <w:noProof/>
            <w:lang w:val="zh-CN"/>
          </w:rPr>
          <w:t>1</w:t>
        </w:r>
        <w:r>
          <w:fldChar w:fldCharType="end"/>
        </w:r>
      </w:p>
    </w:sdtContent>
  </w:sdt>
  <w:p w14:paraId="440C362E" w14:textId="77777777" w:rsidR="005C63A5" w:rsidRDefault="005C63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BE166" w14:textId="77777777" w:rsidR="0068500F" w:rsidRDefault="0068500F">
      <w:r>
        <w:separator/>
      </w:r>
    </w:p>
  </w:footnote>
  <w:footnote w:type="continuationSeparator" w:id="0">
    <w:p w14:paraId="5694AE8B" w14:textId="77777777" w:rsidR="0068500F" w:rsidRDefault="00685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22D1"/>
    <w:multiLevelType w:val="singleLevel"/>
    <w:tmpl w:val="002222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1NDE2ZjM0N2JmOTlmZDYxOTEwNDJlNTMyYzBhMmEifQ=="/>
  </w:docVars>
  <w:rsids>
    <w:rsidRoot w:val="00AC7A56"/>
    <w:rsid w:val="00003DCA"/>
    <w:rsid w:val="0000667D"/>
    <w:rsid w:val="000126A2"/>
    <w:rsid w:val="0002081B"/>
    <w:rsid w:val="00021502"/>
    <w:rsid w:val="00024736"/>
    <w:rsid w:val="000251E1"/>
    <w:rsid w:val="00026116"/>
    <w:rsid w:val="000262BF"/>
    <w:rsid w:val="00034B79"/>
    <w:rsid w:val="00043AD0"/>
    <w:rsid w:val="000552BF"/>
    <w:rsid w:val="000620C6"/>
    <w:rsid w:val="00062482"/>
    <w:rsid w:val="0006419A"/>
    <w:rsid w:val="000718ED"/>
    <w:rsid w:val="0008654E"/>
    <w:rsid w:val="0009464B"/>
    <w:rsid w:val="000970E3"/>
    <w:rsid w:val="000A2ED5"/>
    <w:rsid w:val="000C13B7"/>
    <w:rsid w:val="000C1EE5"/>
    <w:rsid w:val="000C70FA"/>
    <w:rsid w:val="000D1025"/>
    <w:rsid w:val="000E7B4C"/>
    <w:rsid w:val="000E7C8E"/>
    <w:rsid w:val="000F1C51"/>
    <w:rsid w:val="000F466D"/>
    <w:rsid w:val="000F7658"/>
    <w:rsid w:val="00100F65"/>
    <w:rsid w:val="0010459A"/>
    <w:rsid w:val="00111778"/>
    <w:rsid w:val="001259FF"/>
    <w:rsid w:val="001423DE"/>
    <w:rsid w:val="00152BB0"/>
    <w:rsid w:val="001564CF"/>
    <w:rsid w:val="00162965"/>
    <w:rsid w:val="00176150"/>
    <w:rsid w:val="00180299"/>
    <w:rsid w:val="00184328"/>
    <w:rsid w:val="00190F35"/>
    <w:rsid w:val="0019342B"/>
    <w:rsid w:val="001936A1"/>
    <w:rsid w:val="00194654"/>
    <w:rsid w:val="00197B2C"/>
    <w:rsid w:val="001A3667"/>
    <w:rsid w:val="001A52F4"/>
    <w:rsid w:val="001B61CC"/>
    <w:rsid w:val="001C210D"/>
    <w:rsid w:val="001D1C53"/>
    <w:rsid w:val="001D4C12"/>
    <w:rsid w:val="001D6EB2"/>
    <w:rsid w:val="001D74B9"/>
    <w:rsid w:val="001E4A5E"/>
    <w:rsid w:val="001F7751"/>
    <w:rsid w:val="002015A4"/>
    <w:rsid w:val="00202B6A"/>
    <w:rsid w:val="00202D34"/>
    <w:rsid w:val="00207DFD"/>
    <w:rsid w:val="00213066"/>
    <w:rsid w:val="002178B6"/>
    <w:rsid w:val="00226005"/>
    <w:rsid w:val="002278D6"/>
    <w:rsid w:val="00233E3F"/>
    <w:rsid w:val="00241C2B"/>
    <w:rsid w:val="00244976"/>
    <w:rsid w:val="0025345F"/>
    <w:rsid w:val="00253828"/>
    <w:rsid w:val="00254984"/>
    <w:rsid w:val="002551EA"/>
    <w:rsid w:val="00255D34"/>
    <w:rsid w:val="00257D63"/>
    <w:rsid w:val="002623C7"/>
    <w:rsid w:val="00263CBC"/>
    <w:rsid w:val="0027022A"/>
    <w:rsid w:val="002808B3"/>
    <w:rsid w:val="00297A04"/>
    <w:rsid w:val="002B2F18"/>
    <w:rsid w:val="002B380F"/>
    <w:rsid w:val="002B38E7"/>
    <w:rsid w:val="002B3B5C"/>
    <w:rsid w:val="002C5A80"/>
    <w:rsid w:val="002D3651"/>
    <w:rsid w:val="002D509B"/>
    <w:rsid w:val="002D6E6D"/>
    <w:rsid w:val="002E0C18"/>
    <w:rsid w:val="002E6057"/>
    <w:rsid w:val="002F3987"/>
    <w:rsid w:val="002F4155"/>
    <w:rsid w:val="00300275"/>
    <w:rsid w:val="00303F06"/>
    <w:rsid w:val="00312E7A"/>
    <w:rsid w:val="0032012A"/>
    <w:rsid w:val="0032528E"/>
    <w:rsid w:val="00332B5E"/>
    <w:rsid w:val="00335E35"/>
    <w:rsid w:val="0033784C"/>
    <w:rsid w:val="00347138"/>
    <w:rsid w:val="003519F6"/>
    <w:rsid w:val="0037295F"/>
    <w:rsid w:val="003A3A1F"/>
    <w:rsid w:val="003B08A6"/>
    <w:rsid w:val="003B436F"/>
    <w:rsid w:val="003B7366"/>
    <w:rsid w:val="003C42CE"/>
    <w:rsid w:val="003C7428"/>
    <w:rsid w:val="003D22A2"/>
    <w:rsid w:val="003D3B68"/>
    <w:rsid w:val="003D5115"/>
    <w:rsid w:val="003E164A"/>
    <w:rsid w:val="003E511A"/>
    <w:rsid w:val="003F153C"/>
    <w:rsid w:val="0040581A"/>
    <w:rsid w:val="00405B6D"/>
    <w:rsid w:val="0041127B"/>
    <w:rsid w:val="0043771B"/>
    <w:rsid w:val="00443206"/>
    <w:rsid w:val="004539A9"/>
    <w:rsid w:val="00457A66"/>
    <w:rsid w:val="0046284C"/>
    <w:rsid w:val="004719C3"/>
    <w:rsid w:val="0047340C"/>
    <w:rsid w:val="004770A2"/>
    <w:rsid w:val="00483231"/>
    <w:rsid w:val="00486C4A"/>
    <w:rsid w:val="00492A8C"/>
    <w:rsid w:val="004A1121"/>
    <w:rsid w:val="004A3A5C"/>
    <w:rsid w:val="004B6C24"/>
    <w:rsid w:val="004D09DF"/>
    <w:rsid w:val="004E155A"/>
    <w:rsid w:val="004E36A4"/>
    <w:rsid w:val="004E74FC"/>
    <w:rsid w:val="005020CD"/>
    <w:rsid w:val="0050793D"/>
    <w:rsid w:val="00512092"/>
    <w:rsid w:val="005146A3"/>
    <w:rsid w:val="005221B7"/>
    <w:rsid w:val="00525CEE"/>
    <w:rsid w:val="005269FB"/>
    <w:rsid w:val="00530106"/>
    <w:rsid w:val="0053036C"/>
    <w:rsid w:val="005513B5"/>
    <w:rsid w:val="00553C33"/>
    <w:rsid w:val="00556ABC"/>
    <w:rsid w:val="00566F3C"/>
    <w:rsid w:val="00570FEA"/>
    <w:rsid w:val="005715B2"/>
    <w:rsid w:val="005730BF"/>
    <w:rsid w:val="0057745D"/>
    <w:rsid w:val="00584D2A"/>
    <w:rsid w:val="00584FD2"/>
    <w:rsid w:val="00586205"/>
    <w:rsid w:val="00586FA1"/>
    <w:rsid w:val="00587138"/>
    <w:rsid w:val="0059111F"/>
    <w:rsid w:val="00595D1D"/>
    <w:rsid w:val="00597FCE"/>
    <w:rsid w:val="005A6B95"/>
    <w:rsid w:val="005B5D1C"/>
    <w:rsid w:val="005C63A5"/>
    <w:rsid w:val="005D0A33"/>
    <w:rsid w:val="005E2910"/>
    <w:rsid w:val="005E3352"/>
    <w:rsid w:val="005E48C5"/>
    <w:rsid w:val="005E4AF0"/>
    <w:rsid w:val="005E553F"/>
    <w:rsid w:val="005F161A"/>
    <w:rsid w:val="005F2EF4"/>
    <w:rsid w:val="005F77BB"/>
    <w:rsid w:val="005F7AE7"/>
    <w:rsid w:val="00602063"/>
    <w:rsid w:val="00602BD2"/>
    <w:rsid w:val="00603722"/>
    <w:rsid w:val="00604722"/>
    <w:rsid w:val="006064A7"/>
    <w:rsid w:val="00610400"/>
    <w:rsid w:val="00620393"/>
    <w:rsid w:val="00621263"/>
    <w:rsid w:val="006237EB"/>
    <w:rsid w:val="006257E2"/>
    <w:rsid w:val="00634687"/>
    <w:rsid w:val="00660616"/>
    <w:rsid w:val="00660C80"/>
    <w:rsid w:val="00666CA0"/>
    <w:rsid w:val="00667B50"/>
    <w:rsid w:val="00667EEF"/>
    <w:rsid w:val="00671ED9"/>
    <w:rsid w:val="00672ECA"/>
    <w:rsid w:val="00673DE7"/>
    <w:rsid w:val="006751FD"/>
    <w:rsid w:val="006800B8"/>
    <w:rsid w:val="006825AF"/>
    <w:rsid w:val="00683789"/>
    <w:rsid w:val="0068500F"/>
    <w:rsid w:val="0068650D"/>
    <w:rsid w:val="006A1A55"/>
    <w:rsid w:val="006A3CCA"/>
    <w:rsid w:val="006B7C45"/>
    <w:rsid w:val="006C6382"/>
    <w:rsid w:val="006D03E6"/>
    <w:rsid w:val="006D4C63"/>
    <w:rsid w:val="006D52AA"/>
    <w:rsid w:val="006D5C37"/>
    <w:rsid w:val="006D5EAD"/>
    <w:rsid w:val="006E1FA0"/>
    <w:rsid w:val="006F57D1"/>
    <w:rsid w:val="006F7A9B"/>
    <w:rsid w:val="0070330D"/>
    <w:rsid w:val="00723A7E"/>
    <w:rsid w:val="00770072"/>
    <w:rsid w:val="00776114"/>
    <w:rsid w:val="00776B5A"/>
    <w:rsid w:val="00777349"/>
    <w:rsid w:val="00783BB0"/>
    <w:rsid w:val="00790BC9"/>
    <w:rsid w:val="007951DF"/>
    <w:rsid w:val="007B1146"/>
    <w:rsid w:val="007B59EF"/>
    <w:rsid w:val="007B77A9"/>
    <w:rsid w:val="007C6DA4"/>
    <w:rsid w:val="007D15A3"/>
    <w:rsid w:val="007E5C79"/>
    <w:rsid w:val="007F0511"/>
    <w:rsid w:val="007F52A2"/>
    <w:rsid w:val="007F5B01"/>
    <w:rsid w:val="00805AE6"/>
    <w:rsid w:val="00805F47"/>
    <w:rsid w:val="00812449"/>
    <w:rsid w:val="0081260F"/>
    <w:rsid w:val="00815938"/>
    <w:rsid w:val="00816B5C"/>
    <w:rsid w:val="00817B5E"/>
    <w:rsid w:val="0082708A"/>
    <w:rsid w:val="00830B20"/>
    <w:rsid w:val="008434A3"/>
    <w:rsid w:val="008667C4"/>
    <w:rsid w:val="00892DCD"/>
    <w:rsid w:val="00894E52"/>
    <w:rsid w:val="00897F54"/>
    <w:rsid w:val="008A2BBA"/>
    <w:rsid w:val="008A4154"/>
    <w:rsid w:val="008A423F"/>
    <w:rsid w:val="008A567E"/>
    <w:rsid w:val="008A701E"/>
    <w:rsid w:val="008B0B68"/>
    <w:rsid w:val="008B1368"/>
    <w:rsid w:val="008B1B4F"/>
    <w:rsid w:val="008C350B"/>
    <w:rsid w:val="008C6A80"/>
    <w:rsid w:val="008D211B"/>
    <w:rsid w:val="008E4CFE"/>
    <w:rsid w:val="008E7EE7"/>
    <w:rsid w:val="008F251D"/>
    <w:rsid w:val="008F535F"/>
    <w:rsid w:val="009006B3"/>
    <w:rsid w:val="009100F6"/>
    <w:rsid w:val="00912245"/>
    <w:rsid w:val="009149F8"/>
    <w:rsid w:val="0092256F"/>
    <w:rsid w:val="009264AF"/>
    <w:rsid w:val="00926722"/>
    <w:rsid w:val="00937D6C"/>
    <w:rsid w:val="00940AEC"/>
    <w:rsid w:val="00955457"/>
    <w:rsid w:val="009571E7"/>
    <w:rsid w:val="00962E12"/>
    <w:rsid w:val="009830FA"/>
    <w:rsid w:val="00984867"/>
    <w:rsid w:val="00990169"/>
    <w:rsid w:val="0099451D"/>
    <w:rsid w:val="009963E2"/>
    <w:rsid w:val="009971E8"/>
    <w:rsid w:val="009A2F26"/>
    <w:rsid w:val="009A36AA"/>
    <w:rsid w:val="009B5B79"/>
    <w:rsid w:val="009C01BF"/>
    <w:rsid w:val="009C29CB"/>
    <w:rsid w:val="009D759B"/>
    <w:rsid w:val="009E00CD"/>
    <w:rsid w:val="009E1FC4"/>
    <w:rsid w:val="009E71FA"/>
    <w:rsid w:val="009F07AE"/>
    <w:rsid w:val="009F539E"/>
    <w:rsid w:val="009F5D7B"/>
    <w:rsid w:val="009F71A4"/>
    <w:rsid w:val="00A03D3C"/>
    <w:rsid w:val="00A12459"/>
    <w:rsid w:val="00A12FD7"/>
    <w:rsid w:val="00A13EB1"/>
    <w:rsid w:val="00A23A54"/>
    <w:rsid w:val="00A24AD1"/>
    <w:rsid w:val="00A31803"/>
    <w:rsid w:val="00A354D3"/>
    <w:rsid w:val="00A42863"/>
    <w:rsid w:val="00A46A73"/>
    <w:rsid w:val="00A478A0"/>
    <w:rsid w:val="00A57B15"/>
    <w:rsid w:val="00A60729"/>
    <w:rsid w:val="00A635BB"/>
    <w:rsid w:val="00A75114"/>
    <w:rsid w:val="00A76DC5"/>
    <w:rsid w:val="00A80987"/>
    <w:rsid w:val="00A86359"/>
    <w:rsid w:val="00A90F9D"/>
    <w:rsid w:val="00A954CA"/>
    <w:rsid w:val="00AA39C9"/>
    <w:rsid w:val="00AA3FCA"/>
    <w:rsid w:val="00AA6507"/>
    <w:rsid w:val="00AB1C89"/>
    <w:rsid w:val="00AB3587"/>
    <w:rsid w:val="00AB7234"/>
    <w:rsid w:val="00AC2D12"/>
    <w:rsid w:val="00AC7A56"/>
    <w:rsid w:val="00AE1A58"/>
    <w:rsid w:val="00AE2492"/>
    <w:rsid w:val="00AE72A3"/>
    <w:rsid w:val="00AE7DED"/>
    <w:rsid w:val="00AF063A"/>
    <w:rsid w:val="00B1198F"/>
    <w:rsid w:val="00B25D66"/>
    <w:rsid w:val="00B271AF"/>
    <w:rsid w:val="00B41A5B"/>
    <w:rsid w:val="00B4293B"/>
    <w:rsid w:val="00B50EC3"/>
    <w:rsid w:val="00B56AE8"/>
    <w:rsid w:val="00B60533"/>
    <w:rsid w:val="00B770A6"/>
    <w:rsid w:val="00B83186"/>
    <w:rsid w:val="00B84F90"/>
    <w:rsid w:val="00B95724"/>
    <w:rsid w:val="00BA4F7A"/>
    <w:rsid w:val="00BA5987"/>
    <w:rsid w:val="00BA767C"/>
    <w:rsid w:val="00BB4AEC"/>
    <w:rsid w:val="00BB6396"/>
    <w:rsid w:val="00BB7576"/>
    <w:rsid w:val="00BB7C93"/>
    <w:rsid w:val="00BC0386"/>
    <w:rsid w:val="00BC1B9C"/>
    <w:rsid w:val="00BD5524"/>
    <w:rsid w:val="00BE33C0"/>
    <w:rsid w:val="00BF5C10"/>
    <w:rsid w:val="00BF6BD8"/>
    <w:rsid w:val="00C10590"/>
    <w:rsid w:val="00C1203E"/>
    <w:rsid w:val="00C136D8"/>
    <w:rsid w:val="00C1748D"/>
    <w:rsid w:val="00C3361E"/>
    <w:rsid w:val="00C34903"/>
    <w:rsid w:val="00C449AD"/>
    <w:rsid w:val="00C44FAD"/>
    <w:rsid w:val="00C51516"/>
    <w:rsid w:val="00C5383F"/>
    <w:rsid w:val="00C55BAF"/>
    <w:rsid w:val="00C568D2"/>
    <w:rsid w:val="00C5781A"/>
    <w:rsid w:val="00C62366"/>
    <w:rsid w:val="00C63E0F"/>
    <w:rsid w:val="00C75A20"/>
    <w:rsid w:val="00C77CD6"/>
    <w:rsid w:val="00C80DF5"/>
    <w:rsid w:val="00C8241B"/>
    <w:rsid w:val="00C92622"/>
    <w:rsid w:val="00C92E37"/>
    <w:rsid w:val="00C93096"/>
    <w:rsid w:val="00C969AB"/>
    <w:rsid w:val="00CA320E"/>
    <w:rsid w:val="00CD1008"/>
    <w:rsid w:val="00CD1039"/>
    <w:rsid w:val="00CE11A7"/>
    <w:rsid w:val="00CE3C86"/>
    <w:rsid w:val="00CE4745"/>
    <w:rsid w:val="00CE750B"/>
    <w:rsid w:val="00CF6F43"/>
    <w:rsid w:val="00D009BE"/>
    <w:rsid w:val="00D20306"/>
    <w:rsid w:val="00D31F42"/>
    <w:rsid w:val="00D42861"/>
    <w:rsid w:val="00D45627"/>
    <w:rsid w:val="00D532DD"/>
    <w:rsid w:val="00D54E41"/>
    <w:rsid w:val="00D7323F"/>
    <w:rsid w:val="00D73B81"/>
    <w:rsid w:val="00D820E7"/>
    <w:rsid w:val="00D851EE"/>
    <w:rsid w:val="00D85D02"/>
    <w:rsid w:val="00D956A3"/>
    <w:rsid w:val="00D9678E"/>
    <w:rsid w:val="00DA2D2D"/>
    <w:rsid w:val="00DB0D5E"/>
    <w:rsid w:val="00DB13C7"/>
    <w:rsid w:val="00DB24C9"/>
    <w:rsid w:val="00DB30AC"/>
    <w:rsid w:val="00DB7F6A"/>
    <w:rsid w:val="00DC6C46"/>
    <w:rsid w:val="00DD277D"/>
    <w:rsid w:val="00DE0E95"/>
    <w:rsid w:val="00DE1B60"/>
    <w:rsid w:val="00DE1EC6"/>
    <w:rsid w:val="00DE7DAF"/>
    <w:rsid w:val="00DF6855"/>
    <w:rsid w:val="00E002F2"/>
    <w:rsid w:val="00E02F45"/>
    <w:rsid w:val="00E05966"/>
    <w:rsid w:val="00E06881"/>
    <w:rsid w:val="00E142C4"/>
    <w:rsid w:val="00E17018"/>
    <w:rsid w:val="00E20746"/>
    <w:rsid w:val="00E23C7A"/>
    <w:rsid w:val="00E35E14"/>
    <w:rsid w:val="00E41AC5"/>
    <w:rsid w:val="00E45FCA"/>
    <w:rsid w:val="00E534F0"/>
    <w:rsid w:val="00E5567B"/>
    <w:rsid w:val="00E56BA1"/>
    <w:rsid w:val="00E63CC0"/>
    <w:rsid w:val="00E70E76"/>
    <w:rsid w:val="00E744E4"/>
    <w:rsid w:val="00E83313"/>
    <w:rsid w:val="00E833BF"/>
    <w:rsid w:val="00E836D6"/>
    <w:rsid w:val="00E94DBC"/>
    <w:rsid w:val="00E94FFF"/>
    <w:rsid w:val="00E95B4E"/>
    <w:rsid w:val="00EA20E1"/>
    <w:rsid w:val="00EA2F8E"/>
    <w:rsid w:val="00EA3FFD"/>
    <w:rsid w:val="00EA7212"/>
    <w:rsid w:val="00EB1A80"/>
    <w:rsid w:val="00EB79A9"/>
    <w:rsid w:val="00EC5876"/>
    <w:rsid w:val="00EC5B42"/>
    <w:rsid w:val="00EC69F7"/>
    <w:rsid w:val="00EE172C"/>
    <w:rsid w:val="00EF00D1"/>
    <w:rsid w:val="00EF09F0"/>
    <w:rsid w:val="00EF619D"/>
    <w:rsid w:val="00F00A7E"/>
    <w:rsid w:val="00F122F7"/>
    <w:rsid w:val="00F15C51"/>
    <w:rsid w:val="00F16EED"/>
    <w:rsid w:val="00F2080F"/>
    <w:rsid w:val="00F30274"/>
    <w:rsid w:val="00F30FC1"/>
    <w:rsid w:val="00F35F64"/>
    <w:rsid w:val="00F3676E"/>
    <w:rsid w:val="00F42436"/>
    <w:rsid w:val="00F52B9C"/>
    <w:rsid w:val="00F60F28"/>
    <w:rsid w:val="00F6106B"/>
    <w:rsid w:val="00F62FBE"/>
    <w:rsid w:val="00F64FF2"/>
    <w:rsid w:val="00F87036"/>
    <w:rsid w:val="00F87157"/>
    <w:rsid w:val="00F9674D"/>
    <w:rsid w:val="00FA6203"/>
    <w:rsid w:val="00FA7E90"/>
    <w:rsid w:val="00FC0879"/>
    <w:rsid w:val="00FC3A11"/>
    <w:rsid w:val="00FC7E3E"/>
    <w:rsid w:val="00FD01E5"/>
    <w:rsid w:val="00FD4285"/>
    <w:rsid w:val="00FD4327"/>
    <w:rsid w:val="00FD6957"/>
    <w:rsid w:val="00FD7C48"/>
    <w:rsid w:val="00FE3FF0"/>
    <w:rsid w:val="00FE7E9E"/>
    <w:rsid w:val="00FF1CB7"/>
    <w:rsid w:val="00FF365B"/>
    <w:rsid w:val="09202C93"/>
    <w:rsid w:val="0A56209E"/>
    <w:rsid w:val="0BBB2326"/>
    <w:rsid w:val="0C185C47"/>
    <w:rsid w:val="0CC7125F"/>
    <w:rsid w:val="0D7B2AB5"/>
    <w:rsid w:val="0EED229A"/>
    <w:rsid w:val="153D2F5F"/>
    <w:rsid w:val="227450D8"/>
    <w:rsid w:val="242157C3"/>
    <w:rsid w:val="35350C48"/>
    <w:rsid w:val="354D7813"/>
    <w:rsid w:val="376432B1"/>
    <w:rsid w:val="39487066"/>
    <w:rsid w:val="3C2A164C"/>
    <w:rsid w:val="3C5C5193"/>
    <w:rsid w:val="3C9F28FD"/>
    <w:rsid w:val="411C3BBF"/>
    <w:rsid w:val="41AF2209"/>
    <w:rsid w:val="438D5E09"/>
    <w:rsid w:val="46B11AEB"/>
    <w:rsid w:val="46E072DA"/>
    <w:rsid w:val="470F1F0F"/>
    <w:rsid w:val="57696AA2"/>
    <w:rsid w:val="58387191"/>
    <w:rsid w:val="58D76920"/>
    <w:rsid w:val="620F7F9F"/>
    <w:rsid w:val="6974490C"/>
    <w:rsid w:val="6AD669E8"/>
    <w:rsid w:val="6B491513"/>
    <w:rsid w:val="721071D6"/>
    <w:rsid w:val="75B83EBE"/>
    <w:rsid w:val="79883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1464"/>
  <w15:docId w15:val="{F21BA002-7E10-4B54-B00F-DF71A2AB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alibri" w:hAnsi="Calibri"/>
      <w:kern w:val="1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1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  <w:kern w:val="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kern w:val="1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1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kern w:val="1"/>
      <w:sz w:val="18"/>
      <w:szCs w:val="18"/>
    </w:rPr>
  </w:style>
  <w:style w:type="paragraph" w:styleId="af0">
    <w:name w:val="No Spacing"/>
    <w:uiPriority w:val="99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alibri" w:hAnsi="Calibri"/>
      <w:kern w:val="1"/>
      <w:sz w:val="21"/>
      <w:szCs w:val="22"/>
    </w:rPr>
  </w:style>
  <w:style w:type="character" w:customStyle="1" w:styleId="apple-converted-space">
    <w:name w:val="apple-converted-space"/>
    <w:basedOn w:val="a0"/>
    <w:qFormat/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038A-585C-4CFC-AE2F-01880F83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infaith Mancy</dc:creator>
  <cp:lastModifiedBy>N</cp:lastModifiedBy>
  <cp:revision>116</cp:revision>
  <cp:lastPrinted>2022-07-14T09:51:00Z</cp:lastPrinted>
  <dcterms:created xsi:type="dcterms:W3CDTF">2020-11-06T06:05:00Z</dcterms:created>
  <dcterms:modified xsi:type="dcterms:W3CDTF">2026-02-11T09:02:00Z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97550294943042C48B40E715991B712B_13</vt:lpwstr>
  </property>
  <property fmtid="{D5CDD505-2E9C-101B-9397-08002B2CF9AE}" pid="4" name="KSOTemplateDocerSaveRecord">
    <vt:lpwstr>eyJoZGlkIjoiNTU4MGVkYmY3MGY1MDFjZGE2Mjc2ZTUyMDY5ZDJiNTkiLCJ1c2VySWQiOiI0MjMzMDA0MTkifQ==</vt:lpwstr>
  </property>
</Properties>
</file>