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26E44">
      <w:pPr>
        <w:jc w:val="left"/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asciiTheme="minorEastAsia" w:hAnsiTheme="minorEastAsia" w:eastAsiaTheme="minorEastAsia"/>
          <w:sz w:val="24"/>
          <w:szCs w:val="24"/>
        </w:rPr>
        <w:t>证券代码：603858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    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 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 </w:t>
      </w:r>
      <w:r>
        <w:rPr>
          <w:rFonts w:asciiTheme="minorEastAsia" w:hAnsiTheme="minorEastAsia" w:eastAsiaTheme="minorEastAsia"/>
          <w:sz w:val="24"/>
          <w:szCs w:val="24"/>
        </w:rPr>
        <w:t>证券简称：</w:t>
      </w:r>
      <w:r>
        <w:rPr>
          <w:rFonts w:hint="eastAsia" w:asciiTheme="minorEastAsia" w:hAnsiTheme="minorEastAsia" w:eastAsiaTheme="minorEastAsia"/>
          <w:sz w:val="24"/>
          <w:szCs w:val="24"/>
        </w:rPr>
        <w:t>步长</w:t>
      </w:r>
      <w:r>
        <w:rPr>
          <w:rFonts w:asciiTheme="minorEastAsia" w:hAnsiTheme="minorEastAsia" w:eastAsiaTheme="minorEastAsia"/>
          <w:sz w:val="24"/>
          <w:szCs w:val="24"/>
        </w:rPr>
        <w:t>制药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   </w:t>
      </w:r>
      <w:r>
        <w:rPr>
          <w:rFonts w:asciiTheme="minorEastAsia" w:hAnsiTheme="minorEastAsia" w:eastAsiaTheme="minorEastAsia"/>
          <w:sz w:val="24"/>
          <w:szCs w:val="24"/>
        </w:rPr>
        <w:t xml:space="preserve">    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 </w:t>
      </w:r>
      <w:r>
        <w:rPr>
          <w:rFonts w:asciiTheme="minorEastAsia" w:hAnsiTheme="minorEastAsia" w:eastAsiaTheme="minorEastAsia"/>
          <w:sz w:val="24"/>
          <w:szCs w:val="24"/>
        </w:rPr>
        <w:t>公告编号：</w:t>
      </w:r>
      <w:r>
        <w:rPr>
          <w:rFonts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020</w:t>
      </w:r>
    </w:p>
    <w:p w14:paraId="60C126A3">
      <w:pPr>
        <w:spacing w:line="360" w:lineRule="auto"/>
        <w:ind w:firstLine="723"/>
        <w:jc w:val="center"/>
        <w:rPr>
          <w:rFonts w:asciiTheme="minorEastAsia" w:hAnsiTheme="minorEastAsia" w:eastAsiaTheme="minorEastAsia"/>
          <w:b/>
          <w:color w:val="FF0000"/>
          <w:sz w:val="36"/>
          <w:szCs w:val="36"/>
        </w:rPr>
      </w:pPr>
    </w:p>
    <w:p w14:paraId="5DF4BF18">
      <w:pPr>
        <w:spacing w:before="120" w:beforeLines="50" w:after="120" w:afterLines="50" w:line="300" w:lineRule="auto"/>
        <w:jc w:val="center"/>
        <w:rPr>
          <w:rFonts w:hint="eastAsia" w:ascii="黑体" w:hAnsi="黑体" w:eastAsia="黑体" w:cs="黑体"/>
          <w:b/>
          <w:color w:val="FF0000"/>
          <w:sz w:val="32"/>
          <w:szCs w:val="32"/>
        </w:rPr>
      </w:pPr>
      <w:r>
        <w:rPr>
          <w:rFonts w:hint="eastAsia" w:ascii="黑体" w:hAnsi="黑体" w:eastAsia="黑体" w:cs="黑体"/>
          <w:b/>
          <w:color w:val="FF0000"/>
          <w:sz w:val="32"/>
          <w:szCs w:val="32"/>
        </w:rPr>
        <w:t>山东步长制药股份有限公司</w:t>
      </w:r>
    </w:p>
    <w:p w14:paraId="651704F8">
      <w:pPr>
        <w:spacing w:before="120" w:beforeLines="50" w:after="120" w:afterLines="50" w:line="300" w:lineRule="auto"/>
        <w:jc w:val="center"/>
        <w:rPr>
          <w:rFonts w:hint="eastAsia" w:ascii="黑体" w:hAnsi="黑体" w:eastAsia="黑体" w:cs="黑体"/>
          <w:b/>
          <w:color w:val="FF0000"/>
          <w:sz w:val="32"/>
          <w:szCs w:val="32"/>
        </w:rPr>
      </w:pPr>
      <w:r>
        <w:rPr>
          <w:rFonts w:hint="eastAsia" w:ascii="黑体" w:hAnsi="黑体" w:eastAsia="黑体" w:cs="黑体"/>
          <w:b/>
          <w:color w:val="FF0000"/>
          <w:sz w:val="32"/>
          <w:szCs w:val="32"/>
        </w:rPr>
        <w:t>关于控股股东部分股份解除质押及</w:t>
      </w:r>
      <w:r>
        <w:rPr>
          <w:rFonts w:hint="eastAsia" w:ascii="黑体" w:hAnsi="黑体" w:eastAsia="黑体" w:cs="黑体"/>
          <w:b/>
          <w:color w:val="FF0000"/>
          <w:sz w:val="32"/>
          <w:szCs w:val="32"/>
          <w:lang w:val="en-US" w:eastAsia="zh-CN"/>
        </w:rPr>
        <w:t>再</w:t>
      </w:r>
      <w:r>
        <w:rPr>
          <w:rFonts w:hint="eastAsia" w:ascii="黑体" w:hAnsi="黑体" w:eastAsia="黑体" w:cs="黑体"/>
          <w:b/>
          <w:color w:val="FF0000"/>
          <w:sz w:val="32"/>
          <w:szCs w:val="32"/>
        </w:rPr>
        <w:t>质押的公告</w:t>
      </w:r>
    </w:p>
    <w:p w14:paraId="14B5C193">
      <w:pPr>
        <w:pBdr>
          <w:top w:val="single" w:color="000000" w:sz="4" w:space="1"/>
          <w:left w:val="single" w:color="000000" w:sz="4" w:space="4"/>
          <w:bottom w:val="single" w:color="000000" w:sz="4" w:space="9"/>
          <w:right w:val="single" w:color="000000" w:sz="4" w:space="4"/>
        </w:pBdr>
        <w:spacing w:line="520" w:lineRule="exact"/>
        <w:ind w:left="360" w:firstLine="48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本公司董事会及全体董事保证本公告内容不存在任何虚假记载、误导性陈述或者重大遗漏，并对其内容的真实性、准确性和完整性承担法律责任。</w:t>
      </w:r>
    </w:p>
    <w:p w14:paraId="684499E9">
      <w:pPr>
        <w:pStyle w:val="18"/>
        <w:pBdr>
          <w:bottom w:val="none" w:color="000000" w:sz="0" w:space="1"/>
        </w:pBdr>
        <w:spacing w:before="120" w:beforeLines="50" w:after="120" w:afterLines="50" w:line="360" w:lineRule="auto"/>
        <w:ind w:firstLine="482" w:firstLineChars="200"/>
        <w:rPr>
          <w:rFonts w:asciiTheme="minorEastAsia" w:hAnsiTheme="minorEastAsia" w:eastAsiaTheme="minorEastAsia"/>
          <w:b/>
          <w:sz w:val="24"/>
          <w:szCs w:val="24"/>
        </w:rPr>
      </w:pPr>
    </w:p>
    <w:p w14:paraId="7868965B">
      <w:pPr>
        <w:pStyle w:val="18"/>
        <w:pBdr>
          <w:bottom w:val="none" w:color="000000" w:sz="0" w:space="1"/>
        </w:pBdr>
        <w:spacing w:before="120" w:beforeLines="50" w:after="120" w:afterLines="50" w:line="360" w:lineRule="auto"/>
        <w:ind w:firstLine="482" w:firstLineChars="200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重要内容提示：</w:t>
      </w:r>
    </w:p>
    <w:p w14:paraId="3D4FA39F">
      <w:pPr>
        <w:pStyle w:val="18"/>
        <w:numPr>
          <w:ilvl w:val="0"/>
          <w:numId w:val="1"/>
        </w:numPr>
        <w:pBdr>
          <w:bottom w:val="none" w:color="000000" w:sz="0" w:space="1"/>
        </w:pBdr>
        <w:spacing w:before="120" w:beforeLines="50" w:after="120" w:afterLines="50"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公司控股股东步长</w:t>
      </w:r>
      <w:r>
        <w:rPr>
          <w:rFonts w:hint="eastAsia" w:asciiTheme="minorEastAsia" w:hAnsiTheme="minorEastAsia" w:eastAsiaTheme="minorEastAsia"/>
          <w:sz w:val="24"/>
          <w:szCs w:val="24"/>
        </w:rPr>
        <w:t>（香港）持有本</w:t>
      </w:r>
      <w:r>
        <w:rPr>
          <w:rFonts w:asciiTheme="minorEastAsia" w:hAnsiTheme="minorEastAsia" w:eastAsiaTheme="minorEastAsia"/>
          <w:sz w:val="24"/>
          <w:szCs w:val="24"/>
        </w:rPr>
        <w:t>公司股份</w:t>
      </w:r>
      <w:r>
        <w:rPr>
          <w:rFonts w:hint="eastAsia" w:asciiTheme="minorEastAsia" w:hAnsiTheme="minorEastAsia" w:eastAsiaTheme="minorEastAsia"/>
          <w:sz w:val="24"/>
          <w:szCs w:val="24"/>
        </w:rPr>
        <w:t>4</w:t>
      </w:r>
      <w:r>
        <w:rPr>
          <w:rFonts w:asciiTheme="minorEastAsia" w:hAnsiTheme="minorEastAsia" w:eastAsiaTheme="minorEastAsia"/>
          <w:sz w:val="24"/>
          <w:szCs w:val="24"/>
        </w:rPr>
        <w:t>90,957,202股，占公司总股本</w:t>
      </w:r>
      <w:r>
        <w:rPr>
          <w:rFonts w:hint="eastAsia" w:asciiTheme="minorEastAsia" w:hAnsiTheme="minorEastAsia" w:eastAsiaTheme="minorEastAsia"/>
          <w:sz w:val="24"/>
          <w:szCs w:val="24"/>
        </w:rPr>
        <w:t>的</w:t>
      </w:r>
      <w:r>
        <w:rPr>
          <w:rFonts w:asciiTheme="minorEastAsia" w:hAnsiTheme="minorEastAsia" w:eastAsiaTheme="minorEastAsia"/>
          <w:sz w:val="24"/>
          <w:szCs w:val="24"/>
        </w:rPr>
        <w:t>4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6</w:t>
      </w:r>
      <w:r>
        <w:rPr>
          <w:rFonts w:asciiTheme="minorEastAsia" w:hAnsiTheme="minorEastAsia" w:eastAsiaTheme="minorEastAsia"/>
          <w:sz w:val="24"/>
          <w:szCs w:val="24"/>
        </w:rPr>
        <w:t>.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56</w:t>
      </w:r>
      <w:r>
        <w:rPr>
          <w:rFonts w:asciiTheme="minorEastAsia" w:hAnsiTheme="minorEastAsia" w:eastAsiaTheme="minorEastAsia"/>
          <w:sz w:val="24"/>
          <w:szCs w:val="24"/>
        </w:rPr>
        <w:t>%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。本次解除质押及再质押后，</w:t>
      </w:r>
      <w:r>
        <w:rPr>
          <w:rFonts w:hint="eastAsia" w:asciiTheme="minorEastAsia" w:hAnsiTheme="minorEastAsia" w:eastAsiaTheme="minorEastAsia"/>
          <w:sz w:val="24"/>
          <w:szCs w:val="24"/>
        </w:rPr>
        <w:t>步长（香港）累计质押本公司股份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108,530,000</w:t>
      </w:r>
      <w:r>
        <w:rPr>
          <w:rFonts w:hint="eastAsia" w:asciiTheme="minorEastAsia" w:hAnsiTheme="minorEastAsia" w:eastAsiaTheme="minorEastAsia"/>
          <w:sz w:val="24"/>
          <w:szCs w:val="24"/>
        </w:rPr>
        <w:t>股，占其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所</w:t>
      </w:r>
      <w:r>
        <w:rPr>
          <w:rFonts w:hint="eastAsia" w:asciiTheme="minorEastAsia" w:hAnsiTheme="minorEastAsia" w:eastAsiaTheme="minorEastAsia"/>
          <w:sz w:val="24"/>
          <w:szCs w:val="24"/>
        </w:rPr>
        <w:t>持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公司</w:t>
      </w:r>
      <w:r>
        <w:rPr>
          <w:rFonts w:hint="eastAsia" w:asciiTheme="minorEastAsia" w:hAnsiTheme="minorEastAsia" w:eastAsiaTheme="minorEastAsia"/>
          <w:sz w:val="24"/>
          <w:szCs w:val="24"/>
        </w:rPr>
        <w:t>股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份总数</w:t>
      </w:r>
      <w:r>
        <w:rPr>
          <w:rFonts w:hint="eastAsia" w:asciiTheme="minorEastAsia" w:hAnsiTheme="minorEastAsia" w:eastAsiaTheme="minorEastAsia"/>
          <w:sz w:val="24"/>
          <w:szCs w:val="24"/>
        </w:rPr>
        <w:t>的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22.11</w:t>
      </w:r>
      <w:r>
        <w:rPr>
          <w:rFonts w:asciiTheme="minorEastAsia" w:hAnsiTheme="minorEastAsia" w:eastAsiaTheme="minorEastAsia"/>
          <w:sz w:val="24"/>
          <w:szCs w:val="24"/>
        </w:rPr>
        <w:t>%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asciiTheme="minorEastAsia" w:hAnsiTheme="minorEastAsia" w:eastAsiaTheme="minorEastAsia"/>
          <w:sz w:val="24"/>
          <w:szCs w:val="24"/>
        </w:rPr>
        <w:t>占公司总股本的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10.29</w:t>
      </w:r>
      <w:r>
        <w:rPr>
          <w:rFonts w:asciiTheme="minorEastAsia" w:hAnsiTheme="minorEastAsia" w:eastAsiaTheme="minorEastAsia"/>
          <w:sz w:val="24"/>
          <w:szCs w:val="24"/>
        </w:rPr>
        <w:t>%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A26A055">
      <w:pPr>
        <w:pStyle w:val="18"/>
        <w:numPr>
          <w:ilvl w:val="0"/>
          <w:numId w:val="1"/>
        </w:numPr>
        <w:pBdr>
          <w:bottom w:val="none" w:color="000000" w:sz="0" w:space="1"/>
        </w:pBdr>
        <w:spacing w:before="120" w:beforeLines="50" w:after="120" w:afterLines="50"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公司控股股东步长</w:t>
      </w:r>
      <w:r>
        <w:rPr>
          <w:rFonts w:hint="eastAsia" w:asciiTheme="minorEastAsia" w:hAnsiTheme="minorEastAsia" w:eastAsiaTheme="minorEastAsia"/>
          <w:sz w:val="24"/>
          <w:szCs w:val="24"/>
        </w:rPr>
        <w:t>（香港）及其一致行动人首诚国际（香港）有限公司、西藏丹红企业管理有限公司、西藏瑞兴投资咨询有限公司、西藏广发投资咨询有限公司、西藏华联商务信息咨询有限公司</w:t>
      </w:r>
      <w:r>
        <w:rPr>
          <w:rFonts w:asciiTheme="minorEastAsia" w:hAnsiTheme="minorEastAsia" w:eastAsiaTheme="minorEastAsia"/>
          <w:sz w:val="24"/>
          <w:szCs w:val="24"/>
        </w:rPr>
        <w:t>合计持有</w:t>
      </w:r>
      <w:r>
        <w:rPr>
          <w:rFonts w:hint="eastAsia" w:asciiTheme="minorEastAsia" w:hAnsiTheme="minorEastAsia" w:eastAsiaTheme="minorEastAsia"/>
          <w:sz w:val="24"/>
          <w:szCs w:val="24"/>
        </w:rPr>
        <w:t>本</w:t>
      </w:r>
      <w:r>
        <w:rPr>
          <w:rFonts w:asciiTheme="minorEastAsia" w:hAnsiTheme="minorEastAsia" w:eastAsiaTheme="minorEastAsia"/>
          <w:sz w:val="24"/>
          <w:szCs w:val="24"/>
        </w:rPr>
        <w:t>公司股份598,200,660股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asciiTheme="minorEastAsia" w:hAnsiTheme="minorEastAsia" w:eastAsiaTheme="minorEastAsia"/>
          <w:sz w:val="24"/>
          <w:szCs w:val="24"/>
        </w:rPr>
        <w:t>占公司总股本的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56.72</w:t>
      </w:r>
      <w:r>
        <w:rPr>
          <w:rFonts w:hint="eastAsia" w:asciiTheme="minorEastAsia" w:hAnsiTheme="minorEastAsia" w:eastAsiaTheme="minorEastAsia"/>
          <w:sz w:val="24"/>
          <w:szCs w:val="24"/>
        </w:rPr>
        <w:t>%；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本次解除质押及再质押后，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上述股东</w:t>
      </w:r>
      <w:r>
        <w:rPr>
          <w:rFonts w:hint="eastAsia" w:asciiTheme="minorEastAsia" w:hAnsiTheme="minorEastAsia" w:eastAsiaTheme="minorEastAsia"/>
          <w:sz w:val="24"/>
          <w:szCs w:val="24"/>
        </w:rPr>
        <w:t>累计质押本公司股份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108,530,000</w:t>
      </w:r>
      <w:r>
        <w:rPr>
          <w:rFonts w:hint="eastAsia" w:asciiTheme="minorEastAsia" w:hAnsiTheme="minorEastAsia" w:eastAsiaTheme="minorEastAsia"/>
          <w:sz w:val="24"/>
          <w:szCs w:val="24"/>
        </w:rPr>
        <w:t>股，占其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所</w:t>
      </w:r>
      <w:r>
        <w:rPr>
          <w:rFonts w:hint="eastAsia" w:asciiTheme="minorEastAsia" w:hAnsiTheme="minorEastAsia" w:eastAsiaTheme="minorEastAsia"/>
          <w:sz w:val="24"/>
          <w:szCs w:val="24"/>
        </w:rPr>
        <w:t>持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公司</w:t>
      </w:r>
      <w:r>
        <w:rPr>
          <w:rFonts w:hint="eastAsia" w:asciiTheme="minorEastAsia" w:hAnsiTheme="minorEastAsia" w:eastAsiaTheme="minorEastAsia"/>
          <w:sz w:val="24"/>
          <w:szCs w:val="24"/>
        </w:rPr>
        <w:t>股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份总数</w:t>
      </w:r>
      <w:r>
        <w:rPr>
          <w:rFonts w:hint="eastAsia" w:asciiTheme="minorEastAsia" w:hAnsiTheme="minorEastAsia" w:eastAsiaTheme="minorEastAsia"/>
          <w:sz w:val="24"/>
          <w:szCs w:val="24"/>
        </w:rPr>
        <w:t>的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18.14</w:t>
      </w:r>
      <w:r>
        <w:rPr>
          <w:rFonts w:asciiTheme="minorEastAsia" w:hAnsiTheme="minorEastAsia" w:eastAsiaTheme="minorEastAsia"/>
          <w:sz w:val="24"/>
          <w:szCs w:val="24"/>
        </w:rPr>
        <w:t>%</w:t>
      </w:r>
      <w:bookmarkStart w:id="0" w:name="_Hlk104476190"/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，</w:t>
      </w:r>
      <w:r>
        <w:rPr>
          <w:rFonts w:asciiTheme="minorEastAsia" w:hAnsiTheme="minorEastAsia" w:eastAsiaTheme="minorEastAsia"/>
          <w:sz w:val="24"/>
          <w:szCs w:val="24"/>
        </w:rPr>
        <w:t>占公司总股本的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10.29</w:t>
      </w:r>
      <w:r>
        <w:rPr>
          <w:rFonts w:asciiTheme="minorEastAsia" w:hAnsiTheme="minorEastAsia" w:eastAsiaTheme="minorEastAsia"/>
          <w:sz w:val="24"/>
          <w:szCs w:val="24"/>
        </w:rPr>
        <w:t>%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  <w:bookmarkStart w:id="3" w:name="_GoBack"/>
      <w:bookmarkEnd w:id="3"/>
    </w:p>
    <w:bookmarkEnd w:id="0"/>
    <w:p w14:paraId="77309EAB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after="120" w:afterLines="50"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山东步长制药股份有限公司</w:t>
      </w:r>
      <w:r>
        <w:rPr>
          <w:rFonts w:hint="eastAsia" w:asciiTheme="minorEastAsia" w:hAnsiTheme="minorEastAsia" w:eastAsiaTheme="minorEastAsia"/>
          <w:sz w:val="24"/>
          <w:szCs w:val="24"/>
        </w:rPr>
        <w:t>（以下简称“公司”）</w:t>
      </w:r>
      <w:r>
        <w:rPr>
          <w:rFonts w:asciiTheme="minorEastAsia" w:hAnsiTheme="minorEastAsia" w:eastAsiaTheme="minorEastAsia"/>
          <w:sz w:val="24"/>
          <w:szCs w:val="24"/>
        </w:rPr>
        <w:t>于</w:t>
      </w:r>
      <w:r>
        <w:rPr>
          <w:rFonts w:hint="eastAsia" w:asciiTheme="minorEastAsia" w:hAnsiTheme="minorEastAsia" w:eastAsiaTheme="minorEastAsia"/>
          <w:sz w:val="24"/>
          <w:szCs w:val="24"/>
        </w:rPr>
        <w:t>2</w:t>
      </w:r>
      <w:r>
        <w:rPr>
          <w:rFonts w:asciiTheme="minorEastAsia" w:hAnsiTheme="minorEastAsia" w:eastAsiaTheme="minorEastAsia"/>
          <w:sz w:val="24"/>
          <w:szCs w:val="24"/>
        </w:rPr>
        <w:t>02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6</w:t>
      </w:r>
      <w:r>
        <w:rPr>
          <w:rFonts w:asciiTheme="minorEastAsia" w:hAnsiTheme="minorEastAsia" w:eastAsiaTheme="minorEastAsia"/>
          <w:sz w:val="24"/>
          <w:szCs w:val="24"/>
        </w:rPr>
        <w:t>年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2</w:t>
      </w:r>
      <w:r>
        <w:rPr>
          <w:rFonts w:asciiTheme="minorEastAsia" w:hAnsiTheme="minorEastAsia" w:eastAsiaTheme="minorEastAsia"/>
          <w:sz w:val="24"/>
          <w:szCs w:val="24"/>
        </w:rPr>
        <w:t>月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asciiTheme="minorEastAsia" w:hAnsiTheme="minorEastAsia" w:eastAsiaTheme="minorEastAsia"/>
          <w:sz w:val="24"/>
          <w:szCs w:val="24"/>
        </w:rPr>
        <w:t>日接到通知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asciiTheme="minorEastAsia" w:hAnsiTheme="minorEastAsia" w:eastAsiaTheme="minorEastAsia"/>
          <w:sz w:val="24"/>
          <w:szCs w:val="24"/>
        </w:rPr>
        <w:t>获悉公司控股股东步长</w:t>
      </w:r>
      <w:r>
        <w:rPr>
          <w:rFonts w:hint="eastAsia" w:asciiTheme="minorEastAsia" w:hAnsiTheme="minorEastAsia" w:eastAsiaTheme="minorEastAsia"/>
          <w:sz w:val="24"/>
          <w:szCs w:val="24"/>
        </w:rPr>
        <w:t>（香港）控股有限公司（以下简称“步长（香港）”）</w:t>
      </w:r>
      <w:r>
        <w:rPr>
          <w:rFonts w:asciiTheme="minorEastAsia" w:hAnsiTheme="minorEastAsia" w:eastAsiaTheme="minorEastAsia"/>
          <w:sz w:val="24"/>
          <w:szCs w:val="24"/>
        </w:rPr>
        <w:t>办理了股份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解除</w:t>
      </w:r>
      <w:r>
        <w:rPr>
          <w:rFonts w:asciiTheme="minorEastAsia" w:hAnsiTheme="minorEastAsia" w:eastAsiaTheme="minorEastAsia"/>
          <w:sz w:val="24"/>
          <w:szCs w:val="24"/>
        </w:rPr>
        <w:t>质押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及再质押</w:t>
      </w:r>
      <w:r>
        <w:rPr>
          <w:rFonts w:asciiTheme="minorEastAsia" w:hAnsiTheme="minorEastAsia" w:eastAsiaTheme="minorEastAsia"/>
          <w:sz w:val="24"/>
          <w:szCs w:val="24"/>
        </w:rPr>
        <w:t>手续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asciiTheme="minorEastAsia" w:hAnsiTheme="minorEastAsia" w:eastAsiaTheme="minorEastAsia"/>
          <w:sz w:val="24"/>
          <w:szCs w:val="24"/>
        </w:rPr>
        <w:t>具体情况如下</w:t>
      </w:r>
      <w:r>
        <w:rPr>
          <w:rFonts w:hint="eastAsia" w:asciiTheme="minorEastAsia" w:hAnsiTheme="minorEastAsia" w:eastAsiaTheme="minorEastAsia"/>
          <w:sz w:val="24"/>
          <w:szCs w:val="24"/>
        </w:rPr>
        <w:t>：</w:t>
      </w:r>
    </w:p>
    <w:p w14:paraId="31E81D5C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="120" w:afterLines="50"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一、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本次股份解除质押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基本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情况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1"/>
        <w:gridCol w:w="4161"/>
      </w:tblGrid>
      <w:tr w14:paraId="208DAD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vAlign w:val="center"/>
          </w:tcPr>
          <w:p w14:paraId="34F1CF91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Lines="50" w:after="120" w:afterLines="50" w:line="36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股东名称</w:t>
            </w:r>
          </w:p>
        </w:tc>
        <w:tc>
          <w:tcPr>
            <w:tcW w:w="4161" w:type="dxa"/>
            <w:vAlign w:val="center"/>
          </w:tcPr>
          <w:p w14:paraId="3BB4C245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Lines="50" w:after="120" w:afterLines="50" w:line="36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步长（香港）控股有限公司</w:t>
            </w:r>
          </w:p>
        </w:tc>
      </w:tr>
      <w:tr w14:paraId="5DB669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vAlign w:val="center"/>
          </w:tcPr>
          <w:p w14:paraId="764CB32A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Lines="50" w:after="120" w:afterLines="50" w:line="36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本次解质股份</w:t>
            </w:r>
          </w:p>
        </w:tc>
        <w:tc>
          <w:tcPr>
            <w:tcW w:w="4161" w:type="dxa"/>
            <w:vAlign w:val="center"/>
          </w:tcPr>
          <w:p w14:paraId="778252FB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Lines="50" w:after="120" w:afterLines="50" w:line="36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8,930,000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股</w:t>
            </w:r>
          </w:p>
        </w:tc>
      </w:tr>
      <w:tr w14:paraId="5DEC08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vAlign w:val="center"/>
          </w:tcPr>
          <w:p w14:paraId="3A050E93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Lines="50" w:after="120" w:afterLines="50" w:line="36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占其所持股份比例</w:t>
            </w:r>
          </w:p>
        </w:tc>
        <w:tc>
          <w:tcPr>
            <w:tcW w:w="4161" w:type="dxa"/>
            <w:vAlign w:val="center"/>
          </w:tcPr>
          <w:p w14:paraId="6F0CECF9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Lines="50" w:after="120" w:afterLines="50" w:line="36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1.82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%</w:t>
            </w:r>
          </w:p>
        </w:tc>
      </w:tr>
      <w:tr w14:paraId="3A5742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vAlign w:val="center"/>
          </w:tcPr>
          <w:p w14:paraId="431EC79C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Lines="50" w:after="120" w:afterLines="50" w:line="36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占公司总股本比例</w:t>
            </w:r>
          </w:p>
        </w:tc>
        <w:tc>
          <w:tcPr>
            <w:tcW w:w="4161" w:type="dxa"/>
            <w:vAlign w:val="center"/>
          </w:tcPr>
          <w:p w14:paraId="0EDC73E8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Lines="50" w:after="120" w:afterLines="50" w:line="360" w:lineRule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0.85%</w:t>
            </w:r>
          </w:p>
        </w:tc>
      </w:tr>
      <w:tr w14:paraId="204F4F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vAlign w:val="center"/>
          </w:tcPr>
          <w:p w14:paraId="40A4E36C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Lines="50" w:after="120" w:afterLines="50" w:line="36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解质时间</w:t>
            </w:r>
          </w:p>
        </w:tc>
        <w:tc>
          <w:tcPr>
            <w:tcW w:w="4161" w:type="dxa"/>
            <w:vAlign w:val="center"/>
          </w:tcPr>
          <w:p w14:paraId="10B58F83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Lines="50" w:after="120" w:afterLines="50" w:line="360" w:lineRule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2026年2月9日</w:t>
            </w:r>
          </w:p>
        </w:tc>
      </w:tr>
      <w:tr w14:paraId="7456D1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vAlign w:val="center"/>
          </w:tcPr>
          <w:p w14:paraId="1DBA5845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Lines="50" w:after="120" w:afterLines="50" w:line="36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持股数量</w:t>
            </w:r>
          </w:p>
        </w:tc>
        <w:tc>
          <w:tcPr>
            <w:tcW w:w="4161" w:type="dxa"/>
            <w:vAlign w:val="center"/>
          </w:tcPr>
          <w:p w14:paraId="10D91DBF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Lines="50" w:after="120" w:afterLines="50" w:line="36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4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90,957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,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202股</w:t>
            </w:r>
          </w:p>
        </w:tc>
      </w:tr>
      <w:tr w14:paraId="3676B2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vAlign w:val="center"/>
          </w:tcPr>
          <w:p w14:paraId="41A55152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Lines="50" w:after="120" w:afterLines="50" w:line="36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持股比例</w:t>
            </w:r>
          </w:p>
        </w:tc>
        <w:tc>
          <w:tcPr>
            <w:tcW w:w="4161" w:type="dxa"/>
            <w:vAlign w:val="center"/>
          </w:tcPr>
          <w:p w14:paraId="7E2D99EA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Lines="50" w:after="120" w:afterLines="50" w:line="36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4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6.56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%</w:t>
            </w:r>
          </w:p>
        </w:tc>
      </w:tr>
      <w:tr w14:paraId="07CD4E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vAlign w:val="center"/>
          </w:tcPr>
          <w:p w14:paraId="029C42E1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Lines="50" w:after="120" w:afterLines="50" w:line="36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剩余被质押股份数量</w:t>
            </w:r>
          </w:p>
        </w:tc>
        <w:tc>
          <w:tcPr>
            <w:tcW w:w="4161" w:type="dxa"/>
            <w:vAlign w:val="center"/>
          </w:tcPr>
          <w:p w14:paraId="3FBE6FA1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Lines="50" w:after="120" w:afterLines="50" w:line="36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99,600,000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股</w:t>
            </w:r>
          </w:p>
        </w:tc>
      </w:tr>
      <w:tr w14:paraId="07A3FE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vAlign w:val="center"/>
          </w:tcPr>
          <w:p w14:paraId="6A5035DC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Lines="50" w:after="120" w:afterLines="50" w:line="36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剩余被质押股份数量占其所持股份比例</w:t>
            </w:r>
          </w:p>
        </w:tc>
        <w:tc>
          <w:tcPr>
            <w:tcW w:w="4161" w:type="dxa"/>
            <w:vAlign w:val="center"/>
          </w:tcPr>
          <w:p w14:paraId="222F3228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Lines="50" w:after="120" w:afterLines="50" w:line="36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20.29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%</w:t>
            </w:r>
          </w:p>
        </w:tc>
      </w:tr>
      <w:tr w14:paraId="546F94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vAlign w:val="center"/>
          </w:tcPr>
          <w:p w14:paraId="39608F2B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Lines="50" w:after="120" w:afterLines="50" w:line="36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剩余被质押股份数量占公司总股本比例</w:t>
            </w:r>
          </w:p>
        </w:tc>
        <w:tc>
          <w:tcPr>
            <w:tcW w:w="4161" w:type="dxa"/>
            <w:shd w:val="clear" w:color="auto" w:fill="auto"/>
            <w:vAlign w:val="center"/>
          </w:tcPr>
          <w:p w14:paraId="4861365E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Lines="50" w:after="120" w:afterLines="50"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9.44%</w:t>
            </w:r>
          </w:p>
        </w:tc>
      </w:tr>
    </w:tbl>
    <w:p w14:paraId="57799D95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="120" w:afterLines="50"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二、</w:t>
      </w:r>
      <w:r>
        <w:rPr>
          <w:rFonts w:hint="eastAsia" w:asciiTheme="minorEastAsia" w:hAnsiTheme="minorEastAsia" w:eastAsiaTheme="minorEastAsia"/>
          <w:sz w:val="24"/>
          <w:szCs w:val="24"/>
        </w:rPr>
        <w:t>本次股份质押基本情况</w:t>
      </w:r>
    </w:p>
    <w:tbl>
      <w:tblPr>
        <w:tblStyle w:val="9"/>
        <w:tblW w:w="6750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031"/>
        <w:gridCol w:w="1297"/>
        <w:gridCol w:w="788"/>
        <w:gridCol w:w="680"/>
        <w:gridCol w:w="1269"/>
        <w:gridCol w:w="1269"/>
        <w:gridCol w:w="1055"/>
        <w:gridCol w:w="795"/>
        <w:gridCol w:w="749"/>
        <w:gridCol w:w="1288"/>
      </w:tblGrid>
      <w:tr w14:paraId="169C51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05F47241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Lines="50" w:after="120" w:afterLines="5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股东名称</w:t>
            </w:r>
          </w:p>
        </w:tc>
        <w:tc>
          <w:tcPr>
            <w:tcW w:w="448" w:type="pct"/>
            <w:vAlign w:val="center"/>
          </w:tcPr>
          <w:p w14:paraId="60C09F9F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Lines="50" w:after="120" w:afterLines="5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是否为</w:t>
            </w:r>
          </w:p>
          <w:p w14:paraId="30452772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Lines="50" w:after="120" w:afterLines="5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控股股东</w:t>
            </w:r>
          </w:p>
        </w:tc>
        <w:tc>
          <w:tcPr>
            <w:tcW w:w="563" w:type="pct"/>
            <w:vAlign w:val="center"/>
          </w:tcPr>
          <w:p w14:paraId="216238B4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Lines="50" w:after="120" w:afterLines="5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本次质押数（股）</w:t>
            </w:r>
          </w:p>
        </w:tc>
        <w:tc>
          <w:tcPr>
            <w:tcW w:w="342" w:type="pct"/>
            <w:vAlign w:val="center"/>
          </w:tcPr>
          <w:p w14:paraId="46FFD1E8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Lines="50" w:after="120" w:afterLines="5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是否为限售股</w:t>
            </w:r>
          </w:p>
        </w:tc>
        <w:tc>
          <w:tcPr>
            <w:tcW w:w="295" w:type="pct"/>
            <w:vAlign w:val="center"/>
          </w:tcPr>
          <w:p w14:paraId="5D33FE8A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Lines="50" w:after="120" w:afterLines="5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是否补充质押</w:t>
            </w:r>
          </w:p>
        </w:tc>
        <w:tc>
          <w:tcPr>
            <w:tcW w:w="551" w:type="pct"/>
            <w:vAlign w:val="center"/>
          </w:tcPr>
          <w:p w14:paraId="053E6024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Lines="50" w:after="120" w:afterLines="5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质押</w:t>
            </w:r>
          </w:p>
          <w:p w14:paraId="30B52A53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Lines="50" w:after="120" w:afterLines="5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起始日</w:t>
            </w:r>
          </w:p>
        </w:tc>
        <w:tc>
          <w:tcPr>
            <w:tcW w:w="551" w:type="pct"/>
            <w:vAlign w:val="center"/>
          </w:tcPr>
          <w:p w14:paraId="241B4987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Lines="50" w:after="120" w:afterLines="5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质押</w:t>
            </w:r>
          </w:p>
          <w:p w14:paraId="15742FDC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Lines="50" w:after="120" w:afterLines="5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到期日</w:t>
            </w:r>
          </w:p>
        </w:tc>
        <w:tc>
          <w:tcPr>
            <w:tcW w:w="458" w:type="pct"/>
            <w:vAlign w:val="center"/>
          </w:tcPr>
          <w:p w14:paraId="415111B4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Lines="50" w:after="120" w:afterLines="5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质权人</w:t>
            </w:r>
          </w:p>
        </w:tc>
        <w:tc>
          <w:tcPr>
            <w:tcW w:w="345" w:type="pct"/>
            <w:vAlign w:val="center"/>
          </w:tcPr>
          <w:p w14:paraId="74B8F710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Lines="50" w:after="120" w:afterLines="5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占其所持股份比例（%）</w:t>
            </w:r>
          </w:p>
        </w:tc>
        <w:tc>
          <w:tcPr>
            <w:tcW w:w="325" w:type="pct"/>
            <w:vAlign w:val="center"/>
          </w:tcPr>
          <w:p w14:paraId="11CE6868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Lines="50" w:after="120" w:afterLines="5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占公司总股本比例（%）</w:t>
            </w:r>
          </w:p>
        </w:tc>
        <w:tc>
          <w:tcPr>
            <w:tcW w:w="559" w:type="pct"/>
            <w:vAlign w:val="center"/>
          </w:tcPr>
          <w:p w14:paraId="7EF63634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Lines="50" w:after="120" w:afterLines="5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质押融资资金用途</w:t>
            </w:r>
          </w:p>
        </w:tc>
      </w:tr>
      <w:tr w14:paraId="094464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8" w:type="pct"/>
            <w:vAlign w:val="center"/>
          </w:tcPr>
          <w:p w14:paraId="0E66F181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Lines="50" w:after="120" w:afterLines="5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步长（香港）控股有限公司</w:t>
            </w:r>
          </w:p>
        </w:tc>
        <w:tc>
          <w:tcPr>
            <w:tcW w:w="448" w:type="pct"/>
            <w:vAlign w:val="center"/>
          </w:tcPr>
          <w:p w14:paraId="38470DA4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Lines="50" w:after="120" w:afterLines="50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是</w:t>
            </w:r>
          </w:p>
        </w:tc>
        <w:tc>
          <w:tcPr>
            <w:tcW w:w="563" w:type="pct"/>
            <w:vAlign w:val="center"/>
          </w:tcPr>
          <w:p w14:paraId="23A7E6E5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Lines="50" w:after="120" w:afterLines="50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8,930,000</w:t>
            </w:r>
          </w:p>
        </w:tc>
        <w:tc>
          <w:tcPr>
            <w:tcW w:w="342" w:type="pct"/>
            <w:vAlign w:val="center"/>
          </w:tcPr>
          <w:p w14:paraId="1CB0874A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Lines="50" w:after="120" w:afterLines="50"/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否</w:t>
            </w:r>
          </w:p>
        </w:tc>
        <w:tc>
          <w:tcPr>
            <w:tcW w:w="295" w:type="pct"/>
            <w:vAlign w:val="center"/>
          </w:tcPr>
          <w:p w14:paraId="38504158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Lines="50" w:after="120" w:afterLines="5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否</w:t>
            </w:r>
          </w:p>
        </w:tc>
        <w:tc>
          <w:tcPr>
            <w:tcW w:w="551" w:type="pct"/>
            <w:vAlign w:val="center"/>
          </w:tcPr>
          <w:p w14:paraId="060B23A3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Lines="50" w:after="120" w:afterLines="50"/>
              <w:jc w:val="left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2026.2.9</w:t>
            </w:r>
          </w:p>
        </w:tc>
        <w:tc>
          <w:tcPr>
            <w:tcW w:w="551" w:type="pct"/>
            <w:vAlign w:val="center"/>
          </w:tcPr>
          <w:p w14:paraId="789AB783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Lines="50" w:after="120" w:afterLines="50"/>
              <w:jc w:val="center"/>
              <w:rPr>
                <w:rFonts w:hint="default" w:asciiTheme="minorEastAsia" w:hAnsiTheme="minorEastAsia" w:eastAsiaTheme="minorEastAsia"/>
                <w:color w:val="FF0000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  <w:t>质押权的存续期间至被担保的债权诉讼时效届满之日止</w:t>
            </w:r>
          </w:p>
        </w:tc>
        <w:tc>
          <w:tcPr>
            <w:tcW w:w="458" w:type="pct"/>
            <w:vAlign w:val="center"/>
          </w:tcPr>
          <w:p w14:paraId="1074241F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Lines="50" w:after="120" w:afterLines="5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贵阳银行股份有限公司习水支行</w:t>
            </w:r>
          </w:p>
        </w:tc>
        <w:tc>
          <w:tcPr>
            <w:tcW w:w="0" w:type="auto"/>
            <w:vAlign w:val="center"/>
          </w:tcPr>
          <w:p w14:paraId="42CD1A6C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Lines="50" w:after="120" w:afterLines="50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1.82</w:t>
            </w:r>
          </w:p>
        </w:tc>
        <w:tc>
          <w:tcPr>
            <w:tcW w:w="325" w:type="pct"/>
            <w:vAlign w:val="center"/>
          </w:tcPr>
          <w:p w14:paraId="3ADCD94D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Lines="50" w:after="120" w:afterLines="50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0.85</w:t>
            </w:r>
          </w:p>
        </w:tc>
        <w:tc>
          <w:tcPr>
            <w:tcW w:w="559" w:type="pct"/>
            <w:vAlign w:val="center"/>
          </w:tcPr>
          <w:p w14:paraId="7DE8165D"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经营所需</w:t>
            </w:r>
          </w:p>
        </w:tc>
      </w:tr>
    </w:tbl>
    <w:p w14:paraId="5FEEAA40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="120" w:afterLines="50"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本次质押股份未被用作重大资产重组、业绩补偿等事项的担保或其他保障用途。</w:t>
      </w:r>
    </w:p>
    <w:p w14:paraId="4DBFAF63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="120" w:afterLines="50"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三、</w:t>
      </w:r>
      <w:r>
        <w:rPr>
          <w:rFonts w:asciiTheme="minorEastAsia" w:hAnsiTheme="minorEastAsia" w:eastAsiaTheme="minorEastAsia"/>
          <w:sz w:val="24"/>
          <w:szCs w:val="24"/>
        </w:rPr>
        <w:t>股东及其一致行动人累计质押股份情况</w:t>
      </w:r>
    </w:p>
    <w:p w14:paraId="4F1CC075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="120" w:afterLines="50" w:line="360" w:lineRule="auto"/>
        <w:ind w:firstLine="480" w:firstLineChars="200"/>
        <w:textAlignment w:val="auto"/>
        <w:rPr>
          <w:rFonts w:asciiTheme="minorEastAsia" w:hAnsiTheme="minorEastAsia" w:eastAsiaTheme="minorEastAsia"/>
          <w:color w:val="FF0000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截至</w:t>
      </w:r>
      <w:r>
        <w:rPr>
          <w:rFonts w:hint="eastAsia" w:asciiTheme="minorEastAsia" w:hAnsiTheme="minorEastAsia" w:eastAsiaTheme="minorEastAsia"/>
          <w:sz w:val="24"/>
          <w:szCs w:val="24"/>
        </w:rPr>
        <w:t>本</w:t>
      </w:r>
      <w:r>
        <w:rPr>
          <w:rFonts w:asciiTheme="minorEastAsia" w:hAnsiTheme="minorEastAsia" w:eastAsiaTheme="minorEastAsia"/>
          <w:sz w:val="24"/>
          <w:szCs w:val="24"/>
        </w:rPr>
        <w:t>公告披露日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asciiTheme="minorEastAsia" w:hAnsiTheme="minorEastAsia" w:eastAsiaTheme="minorEastAsia"/>
          <w:sz w:val="24"/>
          <w:szCs w:val="24"/>
        </w:rPr>
        <w:t>上述股东及其一致行动人累计质押股份情况如下</w:t>
      </w:r>
      <w:r>
        <w:rPr>
          <w:rFonts w:hint="eastAsia" w:asciiTheme="minorEastAsia" w:hAnsiTheme="minorEastAsia" w:eastAsiaTheme="minorEastAsia"/>
          <w:sz w:val="24"/>
          <w:szCs w:val="24"/>
        </w:rPr>
        <w:t>：</w:t>
      </w:r>
    </w:p>
    <w:tbl>
      <w:tblPr>
        <w:tblStyle w:val="8"/>
        <w:tblW w:w="676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1405"/>
        <w:gridCol w:w="826"/>
        <w:gridCol w:w="1370"/>
        <w:gridCol w:w="1371"/>
        <w:gridCol w:w="1144"/>
        <w:gridCol w:w="826"/>
        <w:gridCol w:w="865"/>
        <w:gridCol w:w="865"/>
        <w:gridCol w:w="865"/>
        <w:gridCol w:w="867"/>
      </w:tblGrid>
      <w:tr w14:paraId="43CE1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48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086A5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股东名称</w:t>
            </w:r>
          </w:p>
        </w:tc>
        <w:tc>
          <w:tcPr>
            <w:tcW w:w="60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798EB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持股数量</w:t>
            </w:r>
          </w:p>
          <w:p w14:paraId="4D87318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（股）</w:t>
            </w:r>
          </w:p>
        </w:tc>
        <w:tc>
          <w:tcPr>
            <w:tcW w:w="35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E4E53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持股比例(</w:t>
            </w:r>
            <w:r>
              <w:rPr>
                <w:rFonts w:asciiTheme="minorEastAsia" w:hAnsiTheme="minorEastAsia" w:eastAsiaTheme="minorEastAsia"/>
                <w:kern w:val="2"/>
                <w:szCs w:val="21"/>
              </w:rPr>
              <w:t>%)</w:t>
            </w:r>
          </w:p>
        </w:tc>
        <w:tc>
          <w:tcPr>
            <w:tcW w:w="59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BD7D9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本次质押前累计质押数量（股）</w:t>
            </w:r>
          </w:p>
        </w:tc>
        <w:tc>
          <w:tcPr>
            <w:tcW w:w="59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14F38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本次质押后累计质押数量（股）</w:t>
            </w:r>
          </w:p>
        </w:tc>
        <w:tc>
          <w:tcPr>
            <w:tcW w:w="49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AC0B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占其所持股份比例（%）</w:t>
            </w:r>
          </w:p>
        </w:tc>
        <w:tc>
          <w:tcPr>
            <w:tcW w:w="35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9DF5A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占公司总股本比例（%）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88FE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已质押股份情况</w:t>
            </w:r>
          </w:p>
        </w:tc>
        <w:tc>
          <w:tcPr>
            <w:tcW w:w="75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C436F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未质押股份情况</w:t>
            </w:r>
          </w:p>
        </w:tc>
      </w:tr>
      <w:tr w14:paraId="1734F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3" w:hRule="atLeast"/>
          <w:jc w:val="center"/>
        </w:trPr>
        <w:tc>
          <w:tcPr>
            <w:tcW w:w="48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7BFE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Theme="minorEastAsia" w:hAnsiTheme="minorEastAsia" w:eastAsiaTheme="minorEastAsia"/>
                <w:kern w:val="2"/>
                <w:szCs w:val="21"/>
              </w:rPr>
            </w:pPr>
          </w:p>
        </w:tc>
        <w:tc>
          <w:tcPr>
            <w:tcW w:w="60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AC26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</w:p>
        </w:tc>
        <w:tc>
          <w:tcPr>
            <w:tcW w:w="35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4303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</w:p>
        </w:tc>
        <w:tc>
          <w:tcPr>
            <w:tcW w:w="59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5C8F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</w:p>
        </w:tc>
        <w:tc>
          <w:tcPr>
            <w:tcW w:w="59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BDCD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</w:p>
        </w:tc>
        <w:tc>
          <w:tcPr>
            <w:tcW w:w="49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5459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</w:p>
        </w:tc>
        <w:tc>
          <w:tcPr>
            <w:tcW w:w="35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E764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CA51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已质押股份中限售股份数量</w:t>
            </w:r>
          </w:p>
          <w:p w14:paraId="46935CA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（股）</w:t>
            </w:r>
          </w:p>
        </w:tc>
        <w:tc>
          <w:tcPr>
            <w:tcW w:w="37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A2CF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已质押股份中冻结股份数量（股）</w:t>
            </w:r>
          </w:p>
        </w:tc>
        <w:tc>
          <w:tcPr>
            <w:tcW w:w="37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150F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未质押股份中限售股份数量（股）</w:t>
            </w:r>
          </w:p>
        </w:tc>
        <w:tc>
          <w:tcPr>
            <w:tcW w:w="37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C1EC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未质押股份中冻结股份数量（股）</w:t>
            </w:r>
          </w:p>
        </w:tc>
      </w:tr>
      <w:tr w14:paraId="4EC0D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48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90C1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步长（香港）控股有限公司</w:t>
            </w:r>
          </w:p>
        </w:tc>
        <w:tc>
          <w:tcPr>
            <w:tcW w:w="609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139E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4</w:t>
            </w:r>
            <w:r>
              <w:rPr>
                <w:rFonts w:asciiTheme="minorEastAsia" w:hAnsiTheme="minorEastAsia" w:eastAsiaTheme="minorEastAsia"/>
                <w:kern w:val="2"/>
                <w:szCs w:val="21"/>
              </w:rPr>
              <w:t>90,957,202</w:t>
            </w:r>
          </w:p>
        </w:tc>
        <w:tc>
          <w:tcPr>
            <w:tcW w:w="358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ED15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Theme="minorEastAsia" w:hAnsiTheme="minorEastAsia" w:eastAsiaTheme="minorEastAsia"/>
                <w:kern w:val="2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46.56</w:t>
            </w:r>
          </w:p>
        </w:tc>
        <w:tc>
          <w:tcPr>
            <w:tcW w:w="594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911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99,600,000</w:t>
            </w:r>
          </w:p>
        </w:tc>
        <w:tc>
          <w:tcPr>
            <w:tcW w:w="594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B6A9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10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 w:eastAsiaTheme="minorEastAsia"/>
                <w:szCs w:val="21"/>
              </w:rPr>
              <w:t>,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 w:eastAsiaTheme="minorEastAsia"/>
                <w:szCs w:val="21"/>
              </w:rPr>
              <w:t>30,000</w:t>
            </w:r>
          </w:p>
        </w:tc>
        <w:tc>
          <w:tcPr>
            <w:tcW w:w="49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A140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Theme="minorEastAsia" w:hAnsiTheme="minorEastAsia" w:eastAsiaTheme="minorEastAsia"/>
                <w:kern w:val="2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22.11</w:t>
            </w:r>
          </w:p>
        </w:tc>
        <w:tc>
          <w:tcPr>
            <w:tcW w:w="358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01A0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Theme="minorEastAsia" w:hAnsiTheme="minorEastAsia" w:eastAsiaTheme="minorEastAsia"/>
                <w:kern w:val="2"/>
                <w:szCs w:val="21"/>
                <w:lang w:val="en-US" w:eastAsia="zh-CN"/>
              </w:rPr>
            </w:pPr>
            <w:bookmarkStart w:id="1" w:name="OLE_LINK1"/>
            <w:bookmarkStart w:id="2" w:name="OLE_LINK2"/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 w:eastAsiaTheme="minorEastAsia"/>
                <w:szCs w:val="21"/>
              </w:rPr>
              <w:t>.</w:t>
            </w:r>
            <w:bookmarkEnd w:id="1"/>
            <w:bookmarkEnd w:id="2"/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29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90A6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0</w:t>
            </w:r>
          </w:p>
        </w:tc>
        <w:tc>
          <w:tcPr>
            <w:tcW w:w="37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A503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0</w:t>
            </w:r>
          </w:p>
        </w:tc>
        <w:tc>
          <w:tcPr>
            <w:tcW w:w="37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CB4C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0</w:t>
            </w:r>
          </w:p>
        </w:tc>
        <w:tc>
          <w:tcPr>
            <w:tcW w:w="37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4F25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0</w:t>
            </w:r>
          </w:p>
        </w:tc>
      </w:tr>
      <w:tr w14:paraId="6F7B1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48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4609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首诚国际（香港）有限公司</w:t>
            </w:r>
          </w:p>
        </w:tc>
        <w:tc>
          <w:tcPr>
            <w:tcW w:w="609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3D3B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8</w:t>
            </w:r>
            <w:r>
              <w:rPr>
                <w:rFonts w:asciiTheme="minorEastAsia" w:hAnsiTheme="minorEastAsia" w:eastAsiaTheme="minorEastAsia"/>
                <w:kern w:val="2"/>
                <w:szCs w:val="21"/>
              </w:rPr>
              <w:t>2,742,400</w:t>
            </w:r>
          </w:p>
        </w:tc>
        <w:tc>
          <w:tcPr>
            <w:tcW w:w="358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125E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Theme="minorEastAsia" w:hAnsiTheme="minorEastAsia" w:eastAsiaTheme="minorEastAsia"/>
                <w:kern w:val="2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7</w:t>
            </w:r>
            <w:r>
              <w:rPr>
                <w:rFonts w:asciiTheme="minorEastAsia" w:hAnsiTheme="minorEastAsia" w:eastAsiaTheme="minorEastAsia"/>
                <w:kern w:val="2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kern w:val="2"/>
                <w:szCs w:val="21"/>
                <w:lang w:val="en-US" w:eastAsia="zh-CN"/>
              </w:rPr>
              <w:t>85</w:t>
            </w:r>
          </w:p>
        </w:tc>
        <w:tc>
          <w:tcPr>
            <w:tcW w:w="594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F9A9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0</w:t>
            </w:r>
          </w:p>
        </w:tc>
        <w:tc>
          <w:tcPr>
            <w:tcW w:w="594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959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0</w:t>
            </w:r>
          </w:p>
        </w:tc>
        <w:tc>
          <w:tcPr>
            <w:tcW w:w="49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289A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0</w:t>
            </w:r>
          </w:p>
        </w:tc>
        <w:tc>
          <w:tcPr>
            <w:tcW w:w="358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0F7A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0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B43C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0</w:t>
            </w:r>
          </w:p>
        </w:tc>
        <w:tc>
          <w:tcPr>
            <w:tcW w:w="37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4529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0</w:t>
            </w:r>
          </w:p>
        </w:tc>
        <w:tc>
          <w:tcPr>
            <w:tcW w:w="37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3298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0</w:t>
            </w:r>
          </w:p>
        </w:tc>
        <w:tc>
          <w:tcPr>
            <w:tcW w:w="37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CED5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0</w:t>
            </w:r>
          </w:p>
        </w:tc>
      </w:tr>
      <w:tr w14:paraId="2B919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3DA17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Lines="50" w:after="120" w:afterLines="5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西藏丹红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企业管理</w:t>
            </w:r>
            <w:r>
              <w:rPr>
                <w:rFonts w:asciiTheme="minorEastAsia" w:hAnsiTheme="minorEastAsia" w:eastAsiaTheme="minorEastAsia"/>
                <w:szCs w:val="21"/>
              </w:rPr>
              <w:t>有限公司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5012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</w:t>
            </w:r>
            <w:r>
              <w:rPr>
                <w:rFonts w:asciiTheme="minorEastAsia" w:hAnsiTheme="minorEastAsia" w:eastAsiaTheme="minorEastAsia"/>
                <w:szCs w:val="21"/>
              </w:rPr>
              <w:t>0,408,413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932D3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Lines="50" w:after="120" w:afterLines="50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1.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94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DC23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0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FADC0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Lines="50" w:after="120" w:afterLines="5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0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D22B1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Lines="50" w:after="120" w:afterLines="5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0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83EE0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Lines="50" w:after="120" w:afterLines="5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0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DEA8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0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CDF0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0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38E4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0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7F1F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0</w:t>
            </w:r>
          </w:p>
        </w:tc>
      </w:tr>
      <w:tr w14:paraId="64888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AB074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Lines="50" w:after="120" w:afterLines="5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西藏瑞兴投资咨询有限公司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1BF1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</w:t>
            </w:r>
            <w:r>
              <w:rPr>
                <w:rFonts w:asciiTheme="minorEastAsia" w:hAnsiTheme="minorEastAsia" w:eastAsiaTheme="minorEastAsia"/>
                <w:szCs w:val="21"/>
              </w:rPr>
              <w:t>,068,560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854EC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Lines="50" w:after="120" w:afterLines="50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0</w:t>
            </w:r>
            <w:r>
              <w:rPr>
                <w:rFonts w:asciiTheme="minorEastAsia" w:hAnsiTheme="minorEastAsia" w:eastAsiaTheme="minorEastAsia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20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EBE6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0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FC828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Lines="50" w:after="120" w:afterLines="5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0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C71EC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Lines="50" w:after="120" w:afterLines="5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0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53574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Lines="50" w:after="120" w:afterLines="5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0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39FE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0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7676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0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B488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0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A957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0</w:t>
            </w:r>
          </w:p>
        </w:tc>
      </w:tr>
      <w:tr w14:paraId="39F2B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58AE9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Lines="50" w:after="120" w:afterLines="5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西藏广发投资咨询有限公司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3594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szCs w:val="21"/>
              </w:rPr>
              <w:t>,013,594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66ADE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Lines="50" w:after="120" w:afterLines="50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0.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10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22A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0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31698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Lines="50" w:after="120" w:afterLines="5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0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596A0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Lines="50" w:after="120" w:afterLines="5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0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FFE46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Lines="50" w:after="120" w:afterLines="5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0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2B05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0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8F65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0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6213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0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3126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0</w:t>
            </w:r>
          </w:p>
        </w:tc>
      </w:tr>
      <w:tr w14:paraId="0A1FC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7D972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Lines="50" w:after="120" w:afterLines="5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西藏华联商务信息咨询有限公司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5FD8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szCs w:val="21"/>
              </w:rPr>
              <w:t>,010,491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C9700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Lines="50" w:after="120" w:afterLines="50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0</w:t>
            </w:r>
            <w:r>
              <w:rPr>
                <w:rFonts w:asciiTheme="minorEastAsia" w:hAnsiTheme="minorEastAsia" w:eastAsiaTheme="minorEastAsia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10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9B39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0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0ACA6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Lines="50" w:after="120" w:afterLines="5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0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FA961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Lines="50" w:after="120" w:afterLines="5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0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5A13A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Lines="50" w:after="120" w:afterLines="5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0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5C70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0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A46E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0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4DA7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0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6195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0</w:t>
            </w:r>
          </w:p>
        </w:tc>
      </w:tr>
      <w:tr w14:paraId="7BDCC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87BB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合计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232C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598,200,660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D6D4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Theme="minorEastAsia" w:hAnsiTheme="minorEastAsia" w:eastAsiaTheme="minorEastAsia"/>
                <w:kern w:val="2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5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 w:eastAsiaTheme="minorEastAsia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72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023D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99,600,000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A9B2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10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 w:eastAsiaTheme="minorEastAsia"/>
                <w:szCs w:val="21"/>
              </w:rPr>
              <w:t>,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 w:eastAsiaTheme="minorEastAsia"/>
                <w:szCs w:val="21"/>
              </w:rPr>
              <w:t>30,000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1D90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Theme="minorEastAsia" w:hAnsiTheme="minorEastAsia" w:eastAsiaTheme="minorEastAsia"/>
                <w:kern w:val="2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  <w:lang w:val="en-US" w:eastAsia="zh-CN"/>
              </w:rPr>
              <w:t>18.14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4D9D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Theme="minorEastAsia" w:hAnsiTheme="minorEastAsia" w:eastAsiaTheme="minorEastAsia"/>
                <w:kern w:val="2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 w:eastAsiaTheme="minorEastAsia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29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4C34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0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D9C4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0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EFD0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0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A7CE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0</w:t>
            </w:r>
          </w:p>
        </w:tc>
      </w:tr>
    </w:tbl>
    <w:p w14:paraId="556C7A44">
      <w:pPr>
        <w:pStyle w:val="18"/>
        <w:spacing w:before="120" w:beforeLines="50" w:after="120" w:afterLines="50" w:line="360" w:lineRule="auto"/>
        <w:ind w:firstLine="482" w:firstLineChars="200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  <w:lang w:val="en-US" w:eastAsia="zh-CN"/>
        </w:rPr>
        <w:t>四</w:t>
      </w:r>
      <w:r>
        <w:rPr>
          <w:rFonts w:hint="eastAsia" w:asciiTheme="minorEastAsia" w:hAnsiTheme="minorEastAsia" w:eastAsiaTheme="minorEastAsia"/>
          <w:b/>
          <w:sz w:val="24"/>
          <w:szCs w:val="24"/>
        </w:rPr>
        <w:t>、</w:t>
      </w:r>
      <w:r>
        <w:rPr>
          <w:rFonts w:asciiTheme="minorEastAsia" w:hAnsiTheme="minorEastAsia" w:eastAsiaTheme="minorEastAsia"/>
          <w:b/>
          <w:sz w:val="24"/>
          <w:szCs w:val="24"/>
        </w:rPr>
        <w:t>其他说明</w:t>
      </w:r>
    </w:p>
    <w:p w14:paraId="0C4FC63B">
      <w:pPr>
        <w:pStyle w:val="18"/>
        <w:spacing w:before="120" w:beforeLines="50" w:after="120" w:afterLines="50"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</w:rPr>
        <w:t>步长（香港）有足够的风险控制能力，具备资金偿还能力，还款资金来源包括营业收入、营业利润、投资收益等，质押风险在可控范围内，目前不存在平仓风险，如后续出现平仓风险，将采取补充质押、提前购回被质押股份等措施应对风险。</w:t>
      </w:r>
    </w:p>
    <w:p w14:paraId="3834CA21">
      <w:pPr>
        <w:pStyle w:val="18"/>
        <w:spacing w:before="120" w:beforeLines="50" w:after="120" w:afterLines="50"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</w:rPr>
        <w:t>本次质押事项不会导致公司实际控制权发生变更、不会对公司生产经营和公司治理产生影响。</w:t>
      </w:r>
    </w:p>
    <w:p w14:paraId="21C8378A">
      <w:pPr>
        <w:pStyle w:val="18"/>
        <w:spacing w:before="120" w:beforeLines="50" w:after="120" w:afterLines="50"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3、公司将持续关注股东所持公司股份的质押情况，严格遵守相关规定，及时履行信息披露义务，敬请投资者注意投资风险。</w:t>
      </w:r>
    </w:p>
    <w:p w14:paraId="1A372EE4">
      <w:pPr>
        <w:pStyle w:val="18"/>
        <w:spacing w:before="120" w:beforeLines="50" w:after="120" w:afterLines="50"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特此公告。</w:t>
      </w:r>
    </w:p>
    <w:p w14:paraId="2B9CD83D">
      <w:pPr>
        <w:autoSpaceDE w:val="0"/>
        <w:autoSpaceDN w:val="0"/>
        <w:spacing w:before="120" w:beforeLines="50" w:after="120" w:afterLines="50" w:line="360" w:lineRule="auto"/>
        <w:ind w:firstLine="480" w:firstLineChars="200"/>
        <w:jc w:val="right"/>
        <w:rPr>
          <w:rFonts w:cs="KAPJJC+ËÎÌå" w:asciiTheme="minorEastAsia" w:hAnsiTheme="minorEastAsia" w:eastAsiaTheme="minorEastAsia"/>
          <w:color w:val="000000"/>
          <w:sz w:val="24"/>
        </w:rPr>
      </w:pPr>
    </w:p>
    <w:p w14:paraId="7B09A302">
      <w:pPr>
        <w:autoSpaceDE w:val="0"/>
        <w:autoSpaceDN w:val="0"/>
        <w:spacing w:before="120" w:beforeLines="50" w:after="120" w:afterLines="50" w:line="360" w:lineRule="auto"/>
        <w:ind w:firstLine="480" w:firstLineChars="200"/>
        <w:jc w:val="right"/>
        <w:rPr>
          <w:rFonts w:cs="KAPJJC+ËÎÌå" w:asciiTheme="minorEastAsia" w:hAnsiTheme="minorEastAsia" w:eastAsiaTheme="minorEastAsia"/>
          <w:color w:val="000000"/>
          <w:sz w:val="24"/>
        </w:rPr>
      </w:pPr>
    </w:p>
    <w:p w14:paraId="173B89A4">
      <w:pPr>
        <w:autoSpaceDE w:val="0"/>
        <w:autoSpaceDN w:val="0"/>
        <w:spacing w:before="120" w:beforeLines="50" w:after="120" w:afterLines="50" w:line="360" w:lineRule="auto"/>
        <w:ind w:firstLine="480" w:firstLineChars="200"/>
        <w:jc w:val="right"/>
        <w:rPr>
          <w:rFonts w:cs="KAPJJC+ËÎÌå" w:asciiTheme="minorEastAsia" w:hAnsiTheme="minorEastAsia" w:eastAsiaTheme="minorEastAsia"/>
          <w:color w:val="000000"/>
          <w:sz w:val="24"/>
        </w:rPr>
      </w:pPr>
      <w:r>
        <w:rPr>
          <w:rFonts w:hint="eastAsia" w:cs="KAPJJC+ËÎÌå" w:asciiTheme="minorEastAsia" w:hAnsiTheme="minorEastAsia" w:eastAsiaTheme="minorEastAsia"/>
          <w:color w:val="000000"/>
          <w:sz w:val="24"/>
        </w:rPr>
        <w:t>山东步长制药股份有限公司董事会</w:t>
      </w:r>
    </w:p>
    <w:p w14:paraId="4E946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20" w:beforeLines="50" w:after="120" w:afterLines="50" w:line="360" w:lineRule="auto"/>
        <w:ind w:right="0" w:firstLine="480" w:firstLineChars="200"/>
        <w:jc w:val="right"/>
        <w:textAlignment w:val="auto"/>
        <w:rPr>
          <w:rFonts w:asciiTheme="minorEastAsia" w:hAnsiTheme="minorEastAsia" w:eastAsiaTheme="minorEastAsia"/>
          <w:kern w:val="24"/>
          <w:sz w:val="24"/>
          <w:szCs w:val="24"/>
        </w:rPr>
      </w:pPr>
      <w:r>
        <w:rPr>
          <w:rFonts w:hint="eastAsia" w:cs="KAPJJC+ËÎÌå" w:asciiTheme="minorEastAsia" w:hAnsiTheme="minorEastAsia" w:eastAsiaTheme="minorEastAsia"/>
          <w:color w:val="000000"/>
          <w:sz w:val="24"/>
        </w:rPr>
        <w:t>20</w:t>
      </w:r>
      <w:r>
        <w:rPr>
          <w:rFonts w:cs="KAPJJC+ËÎÌå" w:asciiTheme="minorEastAsia" w:hAnsiTheme="minorEastAsia" w:eastAsiaTheme="minorEastAsia"/>
          <w:color w:val="000000"/>
          <w:sz w:val="24"/>
        </w:rPr>
        <w:t>2</w:t>
      </w:r>
      <w:r>
        <w:rPr>
          <w:rFonts w:hint="eastAsia" w:cs="KAPJJC+ËÎÌå" w:asciiTheme="minorEastAsia" w:hAnsiTheme="minorEastAsia" w:eastAsiaTheme="minorEastAsia"/>
          <w:color w:val="000000"/>
          <w:sz w:val="24"/>
          <w:lang w:val="en-US" w:eastAsia="zh-CN"/>
        </w:rPr>
        <w:t>6</w:t>
      </w:r>
      <w:r>
        <w:rPr>
          <w:rFonts w:hint="eastAsia" w:cs="KAPJJC+ËÎÌå" w:asciiTheme="minorEastAsia" w:hAnsiTheme="minorEastAsia" w:eastAsiaTheme="minorEastAsia"/>
          <w:color w:val="000000"/>
          <w:sz w:val="24"/>
        </w:rPr>
        <w:t>年</w:t>
      </w:r>
      <w:r>
        <w:rPr>
          <w:rFonts w:hint="eastAsia" w:cs="KAPJJC+ËÎÌå" w:asciiTheme="minorEastAsia" w:hAnsiTheme="minorEastAsia" w:eastAsiaTheme="minorEastAsia"/>
          <w:color w:val="000000"/>
          <w:sz w:val="24"/>
          <w:lang w:val="en-US" w:eastAsia="zh-CN"/>
        </w:rPr>
        <w:t>2</w:t>
      </w:r>
      <w:r>
        <w:rPr>
          <w:rFonts w:hint="eastAsia" w:cs="KAPJJC+ËÎÌå" w:asciiTheme="minorEastAsia" w:hAnsiTheme="minorEastAsia" w:eastAsiaTheme="minorEastAsia"/>
          <w:color w:val="000000"/>
          <w:sz w:val="24"/>
        </w:rPr>
        <w:t>月</w:t>
      </w:r>
      <w:r>
        <w:rPr>
          <w:rFonts w:hint="eastAsia" w:cs="KAPJJC+ËÎÌå" w:asciiTheme="minorEastAsia" w:hAnsiTheme="minorEastAsia" w:eastAsiaTheme="minorEastAsia"/>
          <w:color w:val="000000"/>
          <w:sz w:val="24"/>
          <w:lang w:val="en-US" w:eastAsia="zh-CN"/>
        </w:rPr>
        <w:t>11</w:t>
      </w:r>
      <w:r>
        <w:rPr>
          <w:rFonts w:hint="eastAsia" w:cs="KAPJJC+ËÎÌå" w:asciiTheme="minorEastAsia" w:hAnsiTheme="minorEastAsia" w:eastAsiaTheme="minorEastAsia"/>
          <w:color w:val="000000"/>
          <w:sz w:val="24"/>
        </w:rPr>
        <w:t>日</w:t>
      </w:r>
    </w:p>
    <w:sectPr>
      <w:headerReference r:id="rId3" w:type="default"/>
      <w:footerReference r:id="rId5" w:type="default"/>
      <w:headerReference r:id="rId4" w:type="even"/>
      <w:endnotePr>
        <w:numFmt w:val="decimal"/>
      </w:endnotePr>
      <w:pgSz w:w="11906" w:h="16838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PJJC+ËÎÌå">
    <w:altName w:val="Leelawadee UI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Leelawadee UI">
    <w:panose1 w:val="020B0502040204020203"/>
    <w:charset w:val="00"/>
    <w:family w:val="auto"/>
    <w:pitch w:val="default"/>
    <w:sig w:usb0="83000003" w:usb1="00000000" w:usb2="00010000" w:usb3="00000001" w:csb0="000101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62689303"/>
    </w:sdtPr>
    <w:sdtContent>
      <w:p w14:paraId="6E4D1AC5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 w14:paraId="21C9A10F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A0BAEB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8A1CDE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514491"/>
    <w:multiLevelType w:val="multilevel"/>
    <w:tmpl w:val="6B514491"/>
    <w:lvl w:ilvl="0" w:tentative="0">
      <w:start w:val="1"/>
      <w:numFmt w:val="bullet"/>
      <w:lvlText w:val=""/>
      <w:lvlJc w:val="left"/>
      <w:pPr>
        <w:ind w:left="9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JlOTdiMzUwZGNiNTRjMjk0ODdmYTM1MmY1MTQxZTMifQ=="/>
  </w:docVars>
  <w:rsids>
    <w:rsidRoot w:val="00AC7A56"/>
    <w:rsid w:val="0000327D"/>
    <w:rsid w:val="0000667D"/>
    <w:rsid w:val="000126A2"/>
    <w:rsid w:val="00013893"/>
    <w:rsid w:val="000173AC"/>
    <w:rsid w:val="000207ED"/>
    <w:rsid w:val="00021502"/>
    <w:rsid w:val="000232C5"/>
    <w:rsid w:val="00024714"/>
    <w:rsid w:val="000251E1"/>
    <w:rsid w:val="00037D3A"/>
    <w:rsid w:val="000415BC"/>
    <w:rsid w:val="000620C6"/>
    <w:rsid w:val="00081D0B"/>
    <w:rsid w:val="0008654E"/>
    <w:rsid w:val="0009464B"/>
    <w:rsid w:val="000970E3"/>
    <w:rsid w:val="000B77F9"/>
    <w:rsid w:val="000C13B7"/>
    <w:rsid w:val="000C373B"/>
    <w:rsid w:val="000D1025"/>
    <w:rsid w:val="000D57E2"/>
    <w:rsid w:val="000E7C8E"/>
    <w:rsid w:val="000F0C41"/>
    <w:rsid w:val="000F1C51"/>
    <w:rsid w:val="000F466D"/>
    <w:rsid w:val="000F7658"/>
    <w:rsid w:val="00100F65"/>
    <w:rsid w:val="0010459A"/>
    <w:rsid w:val="00120E1C"/>
    <w:rsid w:val="001423DE"/>
    <w:rsid w:val="00143BB3"/>
    <w:rsid w:val="00152BB0"/>
    <w:rsid w:val="001564CF"/>
    <w:rsid w:val="00157422"/>
    <w:rsid w:val="001620CC"/>
    <w:rsid w:val="0017127B"/>
    <w:rsid w:val="00176150"/>
    <w:rsid w:val="00180299"/>
    <w:rsid w:val="00184328"/>
    <w:rsid w:val="00190F35"/>
    <w:rsid w:val="001936A1"/>
    <w:rsid w:val="00197B2C"/>
    <w:rsid w:val="001A3667"/>
    <w:rsid w:val="001A52F4"/>
    <w:rsid w:val="001C210D"/>
    <w:rsid w:val="001C6335"/>
    <w:rsid w:val="001D1C53"/>
    <w:rsid w:val="001D4C12"/>
    <w:rsid w:val="001D6EB2"/>
    <w:rsid w:val="001D74B9"/>
    <w:rsid w:val="001E302B"/>
    <w:rsid w:val="001F1061"/>
    <w:rsid w:val="001F5EB5"/>
    <w:rsid w:val="001F7751"/>
    <w:rsid w:val="001F7C17"/>
    <w:rsid w:val="00202B6A"/>
    <w:rsid w:val="0020476A"/>
    <w:rsid w:val="00226005"/>
    <w:rsid w:val="002278D6"/>
    <w:rsid w:val="00233E3F"/>
    <w:rsid w:val="00241C2B"/>
    <w:rsid w:val="00242172"/>
    <w:rsid w:val="00244219"/>
    <w:rsid w:val="00244976"/>
    <w:rsid w:val="0025345F"/>
    <w:rsid w:val="00254984"/>
    <w:rsid w:val="002551EA"/>
    <w:rsid w:val="002623C7"/>
    <w:rsid w:val="00263CBC"/>
    <w:rsid w:val="00267FFA"/>
    <w:rsid w:val="0027022A"/>
    <w:rsid w:val="002808B3"/>
    <w:rsid w:val="00290AC0"/>
    <w:rsid w:val="00297A04"/>
    <w:rsid w:val="002A53D2"/>
    <w:rsid w:val="002B03DD"/>
    <w:rsid w:val="002B1FD4"/>
    <w:rsid w:val="002B2F18"/>
    <w:rsid w:val="002B38E7"/>
    <w:rsid w:val="002B3B5C"/>
    <w:rsid w:val="002B3BDE"/>
    <w:rsid w:val="002B75A5"/>
    <w:rsid w:val="002C31AF"/>
    <w:rsid w:val="002C5A80"/>
    <w:rsid w:val="002D3651"/>
    <w:rsid w:val="002D509B"/>
    <w:rsid w:val="002D6E6D"/>
    <w:rsid w:val="002E0C18"/>
    <w:rsid w:val="002E30DA"/>
    <w:rsid w:val="002E6057"/>
    <w:rsid w:val="00300275"/>
    <w:rsid w:val="00304297"/>
    <w:rsid w:val="0030659B"/>
    <w:rsid w:val="00312E7A"/>
    <w:rsid w:val="003158DF"/>
    <w:rsid w:val="00317B35"/>
    <w:rsid w:val="0032012A"/>
    <w:rsid w:val="0032528E"/>
    <w:rsid w:val="00326354"/>
    <w:rsid w:val="0033784C"/>
    <w:rsid w:val="00347138"/>
    <w:rsid w:val="0037295F"/>
    <w:rsid w:val="00377CF3"/>
    <w:rsid w:val="00385A17"/>
    <w:rsid w:val="00394522"/>
    <w:rsid w:val="003A2D82"/>
    <w:rsid w:val="003A3A1F"/>
    <w:rsid w:val="003B0E53"/>
    <w:rsid w:val="003B2847"/>
    <w:rsid w:val="003B301D"/>
    <w:rsid w:val="003C42CE"/>
    <w:rsid w:val="003C7428"/>
    <w:rsid w:val="003D2E52"/>
    <w:rsid w:val="003D3B68"/>
    <w:rsid w:val="003D5115"/>
    <w:rsid w:val="003E164A"/>
    <w:rsid w:val="003E3F99"/>
    <w:rsid w:val="003F153C"/>
    <w:rsid w:val="003F5DB6"/>
    <w:rsid w:val="0040581A"/>
    <w:rsid w:val="0041127B"/>
    <w:rsid w:val="00423162"/>
    <w:rsid w:val="004302E2"/>
    <w:rsid w:val="00456287"/>
    <w:rsid w:val="00457A66"/>
    <w:rsid w:val="0046284C"/>
    <w:rsid w:val="004646F1"/>
    <w:rsid w:val="004719C3"/>
    <w:rsid w:val="0047340C"/>
    <w:rsid w:val="004770A2"/>
    <w:rsid w:val="00483231"/>
    <w:rsid w:val="00485B42"/>
    <w:rsid w:val="00486C4A"/>
    <w:rsid w:val="0049205E"/>
    <w:rsid w:val="00492A8C"/>
    <w:rsid w:val="0049514C"/>
    <w:rsid w:val="004A1121"/>
    <w:rsid w:val="004A26BF"/>
    <w:rsid w:val="004A3A5C"/>
    <w:rsid w:val="004B2196"/>
    <w:rsid w:val="004B6C24"/>
    <w:rsid w:val="004E155A"/>
    <w:rsid w:val="004E36A4"/>
    <w:rsid w:val="004E74FC"/>
    <w:rsid w:val="004F3B4E"/>
    <w:rsid w:val="00501E90"/>
    <w:rsid w:val="0050793D"/>
    <w:rsid w:val="00512092"/>
    <w:rsid w:val="005221B7"/>
    <w:rsid w:val="005226D5"/>
    <w:rsid w:val="00525CEE"/>
    <w:rsid w:val="005266D6"/>
    <w:rsid w:val="005269FB"/>
    <w:rsid w:val="00530106"/>
    <w:rsid w:val="0053036C"/>
    <w:rsid w:val="00533352"/>
    <w:rsid w:val="00547AA6"/>
    <w:rsid w:val="005513B5"/>
    <w:rsid w:val="00553C33"/>
    <w:rsid w:val="00556ABC"/>
    <w:rsid w:val="0056106B"/>
    <w:rsid w:val="00570FEA"/>
    <w:rsid w:val="00584D2A"/>
    <w:rsid w:val="005866A7"/>
    <w:rsid w:val="00587138"/>
    <w:rsid w:val="0059111F"/>
    <w:rsid w:val="00595D1D"/>
    <w:rsid w:val="00597FCE"/>
    <w:rsid w:val="005A6B95"/>
    <w:rsid w:val="005E0066"/>
    <w:rsid w:val="005E2910"/>
    <w:rsid w:val="005E3352"/>
    <w:rsid w:val="005E4AF0"/>
    <w:rsid w:val="005F161A"/>
    <w:rsid w:val="005F2EF4"/>
    <w:rsid w:val="005F77BB"/>
    <w:rsid w:val="00600D66"/>
    <w:rsid w:val="0060764A"/>
    <w:rsid w:val="00610400"/>
    <w:rsid w:val="006156A5"/>
    <w:rsid w:val="006159E6"/>
    <w:rsid w:val="00620393"/>
    <w:rsid w:val="00621263"/>
    <w:rsid w:val="006237EB"/>
    <w:rsid w:val="00630551"/>
    <w:rsid w:val="00634687"/>
    <w:rsid w:val="0064627F"/>
    <w:rsid w:val="00660C80"/>
    <w:rsid w:val="00664712"/>
    <w:rsid w:val="00667B50"/>
    <w:rsid w:val="00667EEF"/>
    <w:rsid w:val="00673DE7"/>
    <w:rsid w:val="006751FD"/>
    <w:rsid w:val="006800B8"/>
    <w:rsid w:val="006825AF"/>
    <w:rsid w:val="00683789"/>
    <w:rsid w:val="0068650D"/>
    <w:rsid w:val="00693E5A"/>
    <w:rsid w:val="006A20F6"/>
    <w:rsid w:val="006C02A9"/>
    <w:rsid w:val="006C23A9"/>
    <w:rsid w:val="006C6382"/>
    <w:rsid w:val="006D03E6"/>
    <w:rsid w:val="006D4C63"/>
    <w:rsid w:val="006D52AA"/>
    <w:rsid w:val="006D5C37"/>
    <w:rsid w:val="006D5EAD"/>
    <w:rsid w:val="006E1FA0"/>
    <w:rsid w:val="006F57D1"/>
    <w:rsid w:val="006F7A9B"/>
    <w:rsid w:val="0070330D"/>
    <w:rsid w:val="00713268"/>
    <w:rsid w:val="007220C3"/>
    <w:rsid w:val="00724CBE"/>
    <w:rsid w:val="0076209A"/>
    <w:rsid w:val="007638A0"/>
    <w:rsid w:val="007649B1"/>
    <w:rsid w:val="00770072"/>
    <w:rsid w:val="00776114"/>
    <w:rsid w:val="00777349"/>
    <w:rsid w:val="00783BB0"/>
    <w:rsid w:val="007951DF"/>
    <w:rsid w:val="007A4140"/>
    <w:rsid w:val="007B1146"/>
    <w:rsid w:val="007B416E"/>
    <w:rsid w:val="007B482A"/>
    <w:rsid w:val="007B77A9"/>
    <w:rsid w:val="007C2D0B"/>
    <w:rsid w:val="007C363D"/>
    <w:rsid w:val="007C6DA4"/>
    <w:rsid w:val="007D15A3"/>
    <w:rsid w:val="007E5328"/>
    <w:rsid w:val="007E5C79"/>
    <w:rsid w:val="007F4ACA"/>
    <w:rsid w:val="007F52A2"/>
    <w:rsid w:val="007F5B01"/>
    <w:rsid w:val="00805AE6"/>
    <w:rsid w:val="00812449"/>
    <w:rsid w:val="00816B5C"/>
    <w:rsid w:val="00830D40"/>
    <w:rsid w:val="00835CA0"/>
    <w:rsid w:val="008434A3"/>
    <w:rsid w:val="0084604B"/>
    <w:rsid w:val="008805D0"/>
    <w:rsid w:val="00884049"/>
    <w:rsid w:val="00894E52"/>
    <w:rsid w:val="00897F54"/>
    <w:rsid w:val="008A2BBA"/>
    <w:rsid w:val="008A4154"/>
    <w:rsid w:val="008A423F"/>
    <w:rsid w:val="008A567E"/>
    <w:rsid w:val="008A701E"/>
    <w:rsid w:val="008B1368"/>
    <w:rsid w:val="008C350B"/>
    <w:rsid w:val="008C6A80"/>
    <w:rsid w:val="008D211B"/>
    <w:rsid w:val="008F251D"/>
    <w:rsid w:val="008F656A"/>
    <w:rsid w:val="009006B3"/>
    <w:rsid w:val="00911F48"/>
    <w:rsid w:val="00912245"/>
    <w:rsid w:val="009149F8"/>
    <w:rsid w:val="0092256F"/>
    <w:rsid w:val="009264AF"/>
    <w:rsid w:val="00926722"/>
    <w:rsid w:val="00937616"/>
    <w:rsid w:val="00937F27"/>
    <w:rsid w:val="009412E1"/>
    <w:rsid w:val="009425A4"/>
    <w:rsid w:val="00955457"/>
    <w:rsid w:val="00955714"/>
    <w:rsid w:val="009621E7"/>
    <w:rsid w:val="00962E12"/>
    <w:rsid w:val="00971F4E"/>
    <w:rsid w:val="009830FA"/>
    <w:rsid w:val="0098382E"/>
    <w:rsid w:val="0099451D"/>
    <w:rsid w:val="009963E2"/>
    <w:rsid w:val="009971E8"/>
    <w:rsid w:val="009A2F26"/>
    <w:rsid w:val="009A36AA"/>
    <w:rsid w:val="009B5B79"/>
    <w:rsid w:val="009C25A8"/>
    <w:rsid w:val="009C29CB"/>
    <w:rsid w:val="009D00F6"/>
    <w:rsid w:val="009D759B"/>
    <w:rsid w:val="009E00CD"/>
    <w:rsid w:val="009E1FC4"/>
    <w:rsid w:val="009E5749"/>
    <w:rsid w:val="009E71FA"/>
    <w:rsid w:val="009F07AE"/>
    <w:rsid w:val="009F5396"/>
    <w:rsid w:val="009F539E"/>
    <w:rsid w:val="009F71A4"/>
    <w:rsid w:val="00A01DCE"/>
    <w:rsid w:val="00A03D3C"/>
    <w:rsid w:val="00A0431C"/>
    <w:rsid w:val="00A12459"/>
    <w:rsid w:val="00A12FD7"/>
    <w:rsid w:val="00A222A1"/>
    <w:rsid w:val="00A31803"/>
    <w:rsid w:val="00A42863"/>
    <w:rsid w:val="00A46A73"/>
    <w:rsid w:val="00A57B15"/>
    <w:rsid w:val="00A635BB"/>
    <w:rsid w:val="00A760BB"/>
    <w:rsid w:val="00A76DC5"/>
    <w:rsid w:val="00A80987"/>
    <w:rsid w:val="00A80B15"/>
    <w:rsid w:val="00A8615B"/>
    <w:rsid w:val="00A954CA"/>
    <w:rsid w:val="00AA1FE8"/>
    <w:rsid w:val="00AA39C9"/>
    <w:rsid w:val="00AB3587"/>
    <w:rsid w:val="00AB7234"/>
    <w:rsid w:val="00AC2D12"/>
    <w:rsid w:val="00AC66A5"/>
    <w:rsid w:val="00AC7A56"/>
    <w:rsid w:val="00AD6F14"/>
    <w:rsid w:val="00AE49E5"/>
    <w:rsid w:val="00AE4D4F"/>
    <w:rsid w:val="00AE72A3"/>
    <w:rsid w:val="00AF063A"/>
    <w:rsid w:val="00AF5D2D"/>
    <w:rsid w:val="00B271AF"/>
    <w:rsid w:val="00B3310A"/>
    <w:rsid w:val="00B41A5B"/>
    <w:rsid w:val="00B4293B"/>
    <w:rsid w:val="00B446BE"/>
    <w:rsid w:val="00B50EC3"/>
    <w:rsid w:val="00B55D61"/>
    <w:rsid w:val="00B60EB2"/>
    <w:rsid w:val="00B7471C"/>
    <w:rsid w:val="00B81039"/>
    <w:rsid w:val="00BA4F7A"/>
    <w:rsid w:val="00BA5987"/>
    <w:rsid w:val="00BA767C"/>
    <w:rsid w:val="00BB1DCE"/>
    <w:rsid w:val="00BB54B8"/>
    <w:rsid w:val="00BB6396"/>
    <w:rsid w:val="00BB7576"/>
    <w:rsid w:val="00BC0386"/>
    <w:rsid w:val="00BD5524"/>
    <w:rsid w:val="00BE33C0"/>
    <w:rsid w:val="00BF3CDF"/>
    <w:rsid w:val="00BF6BD8"/>
    <w:rsid w:val="00C030E5"/>
    <w:rsid w:val="00C107AB"/>
    <w:rsid w:val="00C34903"/>
    <w:rsid w:val="00C42ABB"/>
    <w:rsid w:val="00C442A9"/>
    <w:rsid w:val="00C46643"/>
    <w:rsid w:val="00C55BAF"/>
    <w:rsid w:val="00C5781A"/>
    <w:rsid w:val="00C63E0F"/>
    <w:rsid w:val="00C66916"/>
    <w:rsid w:val="00C70B1F"/>
    <w:rsid w:val="00C75A20"/>
    <w:rsid w:val="00C80DF5"/>
    <w:rsid w:val="00C8241B"/>
    <w:rsid w:val="00C91D6D"/>
    <w:rsid w:val="00C92E37"/>
    <w:rsid w:val="00CA320E"/>
    <w:rsid w:val="00CA3A10"/>
    <w:rsid w:val="00CB033A"/>
    <w:rsid w:val="00CC1C4B"/>
    <w:rsid w:val="00CD1008"/>
    <w:rsid w:val="00CD1039"/>
    <w:rsid w:val="00CE11A7"/>
    <w:rsid w:val="00CE18DF"/>
    <w:rsid w:val="00CE3C86"/>
    <w:rsid w:val="00CE4745"/>
    <w:rsid w:val="00CE750B"/>
    <w:rsid w:val="00CF6F43"/>
    <w:rsid w:val="00D009BE"/>
    <w:rsid w:val="00D042E9"/>
    <w:rsid w:val="00D2084E"/>
    <w:rsid w:val="00D31F42"/>
    <w:rsid w:val="00D45627"/>
    <w:rsid w:val="00D52B8A"/>
    <w:rsid w:val="00D532DD"/>
    <w:rsid w:val="00D7323F"/>
    <w:rsid w:val="00D820E7"/>
    <w:rsid w:val="00D851EE"/>
    <w:rsid w:val="00D85D02"/>
    <w:rsid w:val="00D9678E"/>
    <w:rsid w:val="00DA61A6"/>
    <w:rsid w:val="00DB0D5E"/>
    <w:rsid w:val="00DB3AAE"/>
    <w:rsid w:val="00DC6C46"/>
    <w:rsid w:val="00DE1689"/>
    <w:rsid w:val="00DE1B60"/>
    <w:rsid w:val="00E02F45"/>
    <w:rsid w:val="00E05966"/>
    <w:rsid w:val="00E06881"/>
    <w:rsid w:val="00E142C4"/>
    <w:rsid w:val="00E2042A"/>
    <w:rsid w:val="00E20746"/>
    <w:rsid w:val="00E27E60"/>
    <w:rsid w:val="00E27EDF"/>
    <w:rsid w:val="00E3730F"/>
    <w:rsid w:val="00E40058"/>
    <w:rsid w:val="00E41AC5"/>
    <w:rsid w:val="00E41AEE"/>
    <w:rsid w:val="00E45FCA"/>
    <w:rsid w:val="00E51C7E"/>
    <w:rsid w:val="00E51FAE"/>
    <w:rsid w:val="00E54B8D"/>
    <w:rsid w:val="00E5567B"/>
    <w:rsid w:val="00E56BA1"/>
    <w:rsid w:val="00E61E30"/>
    <w:rsid w:val="00E63CC0"/>
    <w:rsid w:val="00E70E76"/>
    <w:rsid w:val="00E738B7"/>
    <w:rsid w:val="00E744E4"/>
    <w:rsid w:val="00E83313"/>
    <w:rsid w:val="00E833BF"/>
    <w:rsid w:val="00E94DBC"/>
    <w:rsid w:val="00EA20E1"/>
    <w:rsid w:val="00EA2F8E"/>
    <w:rsid w:val="00EA4FF6"/>
    <w:rsid w:val="00EB1A80"/>
    <w:rsid w:val="00EB79A9"/>
    <w:rsid w:val="00EC5876"/>
    <w:rsid w:val="00EC5B42"/>
    <w:rsid w:val="00EC5F00"/>
    <w:rsid w:val="00EC69F7"/>
    <w:rsid w:val="00ED54B6"/>
    <w:rsid w:val="00EE3FB8"/>
    <w:rsid w:val="00EE67CA"/>
    <w:rsid w:val="00EF00D1"/>
    <w:rsid w:val="00EF619D"/>
    <w:rsid w:val="00F00A7E"/>
    <w:rsid w:val="00F10F3B"/>
    <w:rsid w:val="00F122F7"/>
    <w:rsid w:val="00F125CF"/>
    <w:rsid w:val="00F15C51"/>
    <w:rsid w:val="00F2080F"/>
    <w:rsid w:val="00F333FA"/>
    <w:rsid w:val="00F3676E"/>
    <w:rsid w:val="00F41E7D"/>
    <w:rsid w:val="00F42436"/>
    <w:rsid w:val="00F60F28"/>
    <w:rsid w:val="00F62FBE"/>
    <w:rsid w:val="00F64FF2"/>
    <w:rsid w:val="00F71304"/>
    <w:rsid w:val="00F82BAF"/>
    <w:rsid w:val="00F86B23"/>
    <w:rsid w:val="00F87036"/>
    <w:rsid w:val="00F87BA0"/>
    <w:rsid w:val="00FA3A08"/>
    <w:rsid w:val="00FA6203"/>
    <w:rsid w:val="00FC0879"/>
    <w:rsid w:val="00FC3A11"/>
    <w:rsid w:val="00FD0BCB"/>
    <w:rsid w:val="00FD4327"/>
    <w:rsid w:val="00FD7C48"/>
    <w:rsid w:val="00FE3FF0"/>
    <w:rsid w:val="00FE7E9E"/>
    <w:rsid w:val="00FF2F44"/>
    <w:rsid w:val="00FF365B"/>
    <w:rsid w:val="015E0D2A"/>
    <w:rsid w:val="05251B26"/>
    <w:rsid w:val="076F023F"/>
    <w:rsid w:val="098B202E"/>
    <w:rsid w:val="0BEB6F66"/>
    <w:rsid w:val="0E5F73F0"/>
    <w:rsid w:val="0F1A64E0"/>
    <w:rsid w:val="126A1D21"/>
    <w:rsid w:val="13C23E99"/>
    <w:rsid w:val="14130CD7"/>
    <w:rsid w:val="153D2F5F"/>
    <w:rsid w:val="154A11A2"/>
    <w:rsid w:val="19FE5729"/>
    <w:rsid w:val="1CD44593"/>
    <w:rsid w:val="1CFE11EF"/>
    <w:rsid w:val="1FAA6E36"/>
    <w:rsid w:val="21435DAE"/>
    <w:rsid w:val="24F42E63"/>
    <w:rsid w:val="26926505"/>
    <w:rsid w:val="284A73D0"/>
    <w:rsid w:val="2A3101FB"/>
    <w:rsid w:val="2AA01EA9"/>
    <w:rsid w:val="2B695E7D"/>
    <w:rsid w:val="33770DF1"/>
    <w:rsid w:val="35CF42A2"/>
    <w:rsid w:val="390445EC"/>
    <w:rsid w:val="3C6712F7"/>
    <w:rsid w:val="3D314198"/>
    <w:rsid w:val="3ED53F18"/>
    <w:rsid w:val="411F182E"/>
    <w:rsid w:val="46611056"/>
    <w:rsid w:val="47076A98"/>
    <w:rsid w:val="486C1D6B"/>
    <w:rsid w:val="51D610EC"/>
    <w:rsid w:val="52FB4FDF"/>
    <w:rsid w:val="57DF0B24"/>
    <w:rsid w:val="5B751975"/>
    <w:rsid w:val="5CB04F81"/>
    <w:rsid w:val="620F7F9F"/>
    <w:rsid w:val="655553D6"/>
    <w:rsid w:val="66CF63DE"/>
    <w:rsid w:val="6B3F06B8"/>
    <w:rsid w:val="6D8D38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jc w:val="both"/>
    </w:pPr>
    <w:rPr>
      <w:rFonts w:ascii="Calibri" w:hAnsi="Calibri" w:eastAsia="宋体" w:cs="Times New Roman"/>
      <w:kern w:val="1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3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批注文字 字符"/>
    <w:basedOn w:val="10"/>
    <w:link w:val="3"/>
    <w:semiHidden/>
    <w:qFormat/>
    <w:uiPriority w:val="99"/>
    <w:rPr>
      <w:rFonts w:ascii="Calibri" w:hAnsi="Calibri" w:eastAsia="宋体" w:cs="Times New Roman"/>
      <w:kern w:val="1"/>
    </w:rPr>
  </w:style>
  <w:style w:type="character" w:customStyle="1" w:styleId="13">
    <w:name w:val="批注主题 字符"/>
    <w:basedOn w:val="12"/>
    <w:link w:val="7"/>
    <w:semiHidden/>
    <w:qFormat/>
    <w:uiPriority w:val="99"/>
    <w:rPr>
      <w:rFonts w:ascii="Calibri" w:hAnsi="Calibri" w:eastAsia="宋体" w:cs="Times New Roman"/>
      <w:b/>
      <w:bCs/>
      <w:kern w:val="1"/>
    </w:rPr>
  </w:style>
  <w:style w:type="character" w:customStyle="1" w:styleId="14">
    <w:name w:val="批注框文本 字符"/>
    <w:basedOn w:val="10"/>
    <w:link w:val="4"/>
    <w:semiHidden/>
    <w:qFormat/>
    <w:uiPriority w:val="99"/>
    <w:rPr>
      <w:rFonts w:ascii="Calibri" w:hAnsi="Calibri" w:eastAsia="宋体" w:cs="Times New Roman"/>
      <w:kern w:val="1"/>
      <w:sz w:val="18"/>
      <w:szCs w:val="18"/>
    </w:rPr>
  </w:style>
  <w:style w:type="character" w:customStyle="1" w:styleId="15">
    <w:name w:val="标题 1 字符"/>
    <w:basedOn w:val="10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页眉 字符"/>
    <w:basedOn w:val="10"/>
    <w:link w:val="6"/>
    <w:qFormat/>
    <w:uiPriority w:val="99"/>
    <w:rPr>
      <w:rFonts w:ascii="Calibri" w:hAnsi="Calibri" w:eastAsia="宋体" w:cs="Times New Roman"/>
      <w:kern w:val="1"/>
      <w:sz w:val="18"/>
      <w:szCs w:val="18"/>
    </w:rPr>
  </w:style>
  <w:style w:type="character" w:customStyle="1" w:styleId="17">
    <w:name w:val="页脚 字符"/>
    <w:basedOn w:val="10"/>
    <w:link w:val="5"/>
    <w:qFormat/>
    <w:uiPriority w:val="99"/>
    <w:rPr>
      <w:rFonts w:ascii="Calibri" w:hAnsi="Calibri" w:eastAsia="宋体" w:cs="Times New Roman"/>
      <w:kern w:val="1"/>
      <w:sz w:val="18"/>
      <w:szCs w:val="18"/>
    </w:rPr>
  </w:style>
  <w:style w:type="paragraph" w:styleId="18">
    <w:name w:val="No Spacing"/>
    <w:qFormat/>
    <w:uiPriority w:val="1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jc w:val="both"/>
    </w:pPr>
    <w:rPr>
      <w:rFonts w:ascii="Calibri" w:hAnsi="Calibri" w:eastAsia="宋体" w:cs="Times New Roman"/>
      <w:kern w:val="1"/>
      <w:sz w:val="21"/>
      <w:szCs w:val="22"/>
      <w:lang w:val="en-US" w:eastAsia="zh-CN" w:bidi="ar-SA"/>
    </w:rPr>
  </w:style>
  <w:style w:type="character" w:customStyle="1" w:styleId="19">
    <w:name w:val="apple-converted-space"/>
    <w:basedOn w:val="10"/>
    <w:qFormat/>
    <w:uiPriority w:val="0"/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paragraph" w:customStyle="1" w:styleId="21">
    <w:name w:val="修订1"/>
    <w:hidden/>
    <w:semiHidden/>
    <w:qFormat/>
    <w:uiPriority w:val="99"/>
    <w:rPr>
      <w:rFonts w:ascii="Calibri" w:hAnsi="Calibri" w:eastAsia="宋体" w:cs="Times New Roman"/>
      <w:kern w:val="1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F6DA6-3FEE-4584-BFB8-BEF54D3497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978</Words>
  <Characters>1140</Characters>
  <Lines>10</Lines>
  <Paragraphs>3</Paragraphs>
  <TotalTime>22</TotalTime>
  <ScaleCrop>false</ScaleCrop>
  <LinksUpToDate>false</LinksUpToDate>
  <CharactersWithSpaces>1156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2023-12-14T02:01:00Z</dcterms:created>
  <dc:creator>infaith Mancy</dc:creator>
  <cp:lastModifiedBy>Nanrui</cp:lastModifiedBy>
  <cp:lastPrinted>2016-12-28T08:39:00Z</cp:lastPrinted>
  <dcterms:modified xsi:type="dcterms:W3CDTF">2026-02-10T03:40:26Z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E933896562D44F098182D7C8B7D9591A_13</vt:lpwstr>
  </property>
  <property fmtid="{D5CDD505-2E9C-101B-9397-08002B2CF9AE}" pid="4" name="KSOTemplateDocerSaveRecord">
    <vt:lpwstr>eyJoZGlkIjoiNTU4MGVkYmY3MGY1MDFjZGE2Mjc2ZTUyMDY5ZDJiNTkiLCJ1c2VySWQiOiI0MjMzMDA0MTkifQ==</vt:lpwstr>
  </property>
</Properties>
</file>