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ABC4" w14:textId="76197457" w:rsidR="00EE7263" w:rsidRDefault="00766C83">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证券代码：603858         证券简称：</w:t>
      </w:r>
      <w:r>
        <w:rPr>
          <w:rFonts w:asciiTheme="minorEastAsia" w:eastAsiaTheme="minorEastAsia" w:hAnsiTheme="minorEastAsia" w:hint="eastAsia"/>
          <w:sz w:val="24"/>
          <w:szCs w:val="24"/>
        </w:rPr>
        <w:t>步长</w:t>
      </w:r>
      <w:r>
        <w:rPr>
          <w:rFonts w:asciiTheme="minorEastAsia" w:eastAsiaTheme="minorEastAsia" w:hAnsiTheme="minorEastAsia"/>
          <w:sz w:val="24"/>
          <w:szCs w:val="24"/>
        </w:rPr>
        <w:t>制药</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公告编号：2026-</w:t>
      </w:r>
      <w:r w:rsidR="00E77EEB">
        <w:rPr>
          <w:rFonts w:asciiTheme="minorEastAsia" w:eastAsiaTheme="minorEastAsia" w:hAnsiTheme="minorEastAsia" w:hint="eastAsia"/>
          <w:sz w:val="24"/>
          <w:szCs w:val="24"/>
        </w:rPr>
        <w:t>013</w:t>
      </w:r>
    </w:p>
    <w:p w14:paraId="25582659" w14:textId="77777777" w:rsidR="007B263C" w:rsidRDefault="007B263C">
      <w:pPr>
        <w:spacing w:line="360" w:lineRule="auto"/>
        <w:jc w:val="left"/>
        <w:rPr>
          <w:rFonts w:asciiTheme="minorEastAsia" w:eastAsiaTheme="minorEastAsia" w:hAnsiTheme="minorEastAsia" w:hint="eastAsia"/>
          <w:sz w:val="24"/>
          <w:szCs w:val="24"/>
        </w:rPr>
      </w:pPr>
    </w:p>
    <w:p w14:paraId="005E94F0" w14:textId="77777777" w:rsidR="00EE7263" w:rsidRDefault="00766C83" w:rsidP="007B263C">
      <w:pPr>
        <w:spacing w:line="360" w:lineRule="auto"/>
        <w:jc w:val="center"/>
        <w:rPr>
          <w:rFonts w:ascii="黑体" w:eastAsia="黑体" w:hAnsi="黑体" w:cs="黑体" w:hint="eastAsia"/>
          <w:b/>
          <w:color w:val="FF0000"/>
          <w:sz w:val="32"/>
          <w:szCs w:val="32"/>
        </w:rPr>
      </w:pPr>
      <w:r>
        <w:rPr>
          <w:rFonts w:ascii="黑体" w:eastAsia="黑体" w:hAnsi="黑体" w:cs="黑体" w:hint="eastAsia"/>
          <w:b/>
          <w:color w:val="FF0000"/>
          <w:sz w:val="32"/>
          <w:szCs w:val="32"/>
        </w:rPr>
        <w:t>山东步长制药股份有限公司</w:t>
      </w:r>
    </w:p>
    <w:p w14:paraId="045E42FE" w14:textId="77777777" w:rsidR="00EE7263" w:rsidRDefault="00766C83" w:rsidP="007B263C">
      <w:pPr>
        <w:spacing w:line="360" w:lineRule="auto"/>
        <w:jc w:val="center"/>
        <w:rPr>
          <w:rFonts w:ascii="黑体" w:eastAsia="黑体" w:hAnsi="黑体" w:cs="黑体" w:hint="eastAsia"/>
          <w:b/>
          <w:color w:val="FF0000"/>
          <w:sz w:val="32"/>
          <w:szCs w:val="32"/>
        </w:rPr>
      </w:pPr>
      <w:r>
        <w:rPr>
          <w:rFonts w:ascii="黑体" w:eastAsia="黑体" w:hAnsi="黑体" w:cs="黑体" w:hint="eastAsia"/>
          <w:b/>
          <w:color w:val="FF0000"/>
          <w:sz w:val="32"/>
          <w:szCs w:val="32"/>
        </w:rPr>
        <w:t>2025年年度业绩预告</w:t>
      </w:r>
    </w:p>
    <w:p w14:paraId="52E6D1C9" w14:textId="77777777" w:rsidR="00EE7263" w:rsidRDefault="00766C83">
      <w:pPr>
        <w:pBdr>
          <w:top w:val="single" w:sz="4" w:space="8" w:color="auto"/>
          <w:left w:val="single" w:sz="4" w:space="4" w:color="auto"/>
          <w:bottom w:val="single" w:sz="4" w:space="0" w:color="auto"/>
          <w:right w:val="single" w:sz="4" w:space="4" w:color="auto"/>
        </w:pBdr>
        <w:adjustRightInd w:val="0"/>
        <w:snapToGrid w:val="0"/>
        <w:spacing w:line="360" w:lineRule="auto"/>
        <w:ind w:firstLineChars="200" w:firstLine="480"/>
        <w:rPr>
          <w:rFonts w:asciiTheme="minorEastAsia" w:eastAsiaTheme="minorEastAsia" w:hAnsiTheme="minorEastAsia" w:hint="eastAsia"/>
          <w:kern w:val="2"/>
          <w:sz w:val="24"/>
          <w:szCs w:val="24"/>
        </w:rPr>
      </w:pPr>
      <w:r>
        <w:rPr>
          <w:rFonts w:asciiTheme="minorEastAsia" w:eastAsiaTheme="minorEastAsia" w:hAnsiTheme="minorEastAsia" w:hint="eastAsia"/>
          <w:sz w:val="24"/>
          <w:szCs w:val="24"/>
        </w:rPr>
        <w:t>本公司董事会及全体董事保证本公告内容不存在任何虚假记载、误导性陈述或者重大遗漏，并对其内容的真实性、准确性和完整性承担法律责任。</w:t>
      </w:r>
    </w:p>
    <w:p w14:paraId="1CEF0F3B" w14:textId="77777777" w:rsidR="00EE7263" w:rsidRDefault="00EE7263">
      <w:pPr>
        <w:pStyle w:val="af"/>
        <w:spacing w:line="360" w:lineRule="auto"/>
        <w:rPr>
          <w:rFonts w:asciiTheme="minorEastAsia" w:eastAsiaTheme="minorEastAsia" w:hAnsiTheme="minorEastAsia" w:hint="eastAsia"/>
          <w:b/>
          <w:sz w:val="24"/>
          <w:szCs w:val="24"/>
        </w:rPr>
      </w:pPr>
    </w:p>
    <w:p w14:paraId="1572ADE6" w14:textId="77777777" w:rsidR="00EE7263" w:rsidRDefault="00766C83">
      <w:pPr>
        <w:pStyle w:val="af"/>
        <w:pBdr>
          <w:bottom w:val="none" w:sz="0" w:space="5" w:color="000000"/>
        </w:pBdr>
        <w:spacing w:line="360" w:lineRule="auto"/>
        <w:ind w:left="48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重要内容提示：</w:t>
      </w:r>
    </w:p>
    <w:p w14:paraId="3EFEF8A2" w14:textId="77777777" w:rsidR="00EE7263" w:rsidRDefault="00766C83">
      <w:pPr>
        <w:pStyle w:val="af"/>
        <w:numPr>
          <w:ilvl w:val="0"/>
          <w:numId w:val="1"/>
        </w:numPr>
        <w:pBdr>
          <w:bottom w:val="none" w:sz="0" w:space="5" w:color="000000"/>
        </w:pBdr>
        <w:spacing w:afterLines="50" w:after="120"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业绩预告适用情形：净利润实现扭亏为盈。</w:t>
      </w:r>
    </w:p>
    <w:p w14:paraId="04519C78" w14:textId="35DC4496" w:rsidR="00EE7263" w:rsidRDefault="00766C83">
      <w:pPr>
        <w:pStyle w:val="af"/>
        <w:numPr>
          <w:ilvl w:val="0"/>
          <w:numId w:val="2"/>
        </w:numPr>
        <w:pBdr>
          <w:bottom w:val="none" w:sz="0" w:space="5" w:color="000000"/>
        </w:pBdr>
        <w:spacing w:afterLines="50" w:after="120"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经财务部门初步测算，预计202</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年年度实现归属于母公司所有者的净利润约为</w:t>
      </w:r>
      <w:r w:rsidR="00AA64C4">
        <w:rPr>
          <w:rFonts w:asciiTheme="minorEastAsia" w:eastAsiaTheme="minorEastAsia" w:hAnsiTheme="minorEastAsia" w:hint="eastAsia"/>
          <w:bCs/>
          <w:sz w:val="24"/>
          <w:szCs w:val="24"/>
        </w:rPr>
        <w:t>32</w:t>
      </w:r>
      <w:r w:rsidR="00DC32B5">
        <w:rPr>
          <w:rFonts w:asciiTheme="minorEastAsia" w:eastAsiaTheme="minorEastAsia" w:hAnsiTheme="minorEastAsia" w:hint="eastAsia"/>
          <w:bCs/>
          <w:sz w:val="24"/>
          <w:szCs w:val="24"/>
        </w:rPr>
        <w:t>,000</w:t>
      </w:r>
      <w:r>
        <w:rPr>
          <w:rFonts w:asciiTheme="minorEastAsia" w:eastAsiaTheme="minorEastAsia" w:hAnsiTheme="minorEastAsia" w:hint="eastAsia"/>
          <w:bCs/>
          <w:sz w:val="24"/>
          <w:szCs w:val="24"/>
        </w:rPr>
        <w:t>万元到</w:t>
      </w:r>
      <w:r w:rsidR="00DC32B5">
        <w:rPr>
          <w:rFonts w:asciiTheme="minorEastAsia" w:eastAsiaTheme="minorEastAsia" w:hAnsiTheme="minorEastAsia" w:hint="eastAsia"/>
          <w:bCs/>
          <w:sz w:val="24"/>
          <w:szCs w:val="24"/>
        </w:rPr>
        <w:t>4</w:t>
      </w:r>
      <w:r w:rsidR="00AA64C4">
        <w:rPr>
          <w:rFonts w:asciiTheme="minorEastAsia" w:eastAsiaTheme="minorEastAsia" w:hAnsiTheme="minorEastAsia" w:hint="eastAsia"/>
          <w:bCs/>
          <w:sz w:val="24"/>
          <w:szCs w:val="24"/>
        </w:rPr>
        <w:t>6</w:t>
      </w:r>
      <w:r w:rsidR="00DC32B5">
        <w:rPr>
          <w:rFonts w:asciiTheme="minorEastAsia" w:eastAsiaTheme="minorEastAsia" w:hAnsiTheme="minorEastAsia" w:hint="eastAsia"/>
          <w:bCs/>
          <w:sz w:val="24"/>
          <w:szCs w:val="24"/>
        </w:rPr>
        <w:t>,800</w:t>
      </w:r>
      <w:r>
        <w:rPr>
          <w:rFonts w:asciiTheme="minorEastAsia" w:eastAsiaTheme="minorEastAsia" w:hAnsiTheme="minorEastAsia" w:hint="eastAsia"/>
          <w:bCs/>
          <w:sz w:val="24"/>
          <w:szCs w:val="24"/>
        </w:rPr>
        <w:t>万元。</w:t>
      </w:r>
    </w:p>
    <w:p w14:paraId="011898FB" w14:textId="29CCF75D" w:rsidR="00EE7263" w:rsidRDefault="00766C83">
      <w:pPr>
        <w:pStyle w:val="af"/>
        <w:numPr>
          <w:ilvl w:val="0"/>
          <w:numId w:val="2"/>
        </w:numPr>
        <w:pBdr>
          <w:bottom w:val="none" w:sz="0" w:space="5" w:color="000000"/>
        </w:pBdr>
        <w:spacing w:afterLines="50" w:after="120" w:line="360" w:lineRule="auto"/>
        <w:rPr>
          <w:rFonts w:asciiTheme="minorEastAsia" w:eastAsiaTheme="minorEastAsia" w:hAnsiTheme="minorEastAsia" w:hint="eastAsia"/>
          <w:b/>
          <w:sz w:val="24"/>
          <w:szCs w:val="24"/>
        </w:rPr>
      </w:pPr>
      <w:r>
        <w:rPr>
          <w:rFonts w:asciiTheme="minorEastAsia" w:eastAsiaTheme="minorEastAsia" w:hAnsiTheme="minorEastAsia" w:hint="eastAsia"/>
          <w:bCs/>
          <w:sz w:val="24"/>
          <w:szCs w:val="24"/>
        </w:rPr>
        <w:t>预计202</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年年度实现归属于母公司所有者的扣除非经常性损益后的净利润约为</w:t>
      </w:r>
      <w:r w:rsidR="00B4580C">
        <w:rPr>
          <w:rFonts w:asciiTheme="minorEastAsia" w:eastAsiaTheme="minorEastAsia" w:hAnsiTheme="minorEastAsia" w:hint="eastAsia"/>
          <w:bCs/>
          <w:sz w:val="24"/>
          <w:szCs w:val="24"/>
        </w:rPr>
        <w:t>5</w:t>
      </w:r>
      <w:r w:rsidR="00AA64C4">
        <w:rPr>
          <w:rFonts w:asciiTheme="minorEastAsia" w:eastAsiaTheme="minorEastAsia" w:hAnsiTheme="minorEastAsia" w:hint="eastAsia"/>
          <w:bCs/>
          <w:sz w:val="24"/>
          <w:szCs w:val="24"/>
        </w:rPr>
        <w:t>9</w:t>
      </w:r>
      <w:r w:rsidR="00B4580C">
        <w:rPr>
          <w:rFonts w:asciiTheme="minorEastAsia" w:eastAsiaTheme="minorEastAsia" w:hAnsiTheme="minorEastAsia" w:hint="eastAsia"/>
          <w:bCs/>
          <w:sz w:val="24"/>
          <w:szCs w:val="24"/>
        </w:rPr>
        <w:t>,000</w:t>
      </w:r>
      <w:r>
        <w:rPr>
          <w:rFonts w:asciiTheme="minorEastAsia" w:eastAsiaTheme="minorEastAsia" w:hAnsiTheme="minorEastAsia" w:hint="eastAsia"/>
          <w:bCs/>
          <w:sz w:val="24"/>
          <w:szCs w:val="24"/>
        </w:rPr>
        <w:t>万元到</w:t>
      </w:r>
      <w:r w:rsidR="00B4580C">
        <w:rPr>
          <w:rFonts w:asciiTheme="minorEastAsia" w:eastAsiaTheme="minorEastAsia" w:hAnsiTheme="minorEastAsia" w:hint="eastAsia"/>
          <w:bCs/>
          <w:sz w:val="24"/>
          <w:szCs w:val="24"/>
        </w:rPr>
        <w:t>8</w:t>
      </w:r>
      <w:r w:rsidR="00AA64C4">
        <w:rPr>
          <w:rFonts w:asciiTheme="minorEastAsia" w:eastAsiaTheme="minorEastAsia" w:hAnsiTheme="minorEastAsia" w:hint="eastAsia"/>
          <w:bCs/>
          <w:sz w:val="24"/>
          <w:szCs w:val="24"/>
        </w:rPr>
        <w:t>6</w:t>
      </w:r>
      <w:r w:rsidR="00B4580C">
        <w:rPr>
          <w:rFonts w:asciiTheme="minorEastAsia" w:eastAsiaTheme="minorEastAsia" w:hAnsiTheme="minorEastAsia" w:hint="eastAsia"/>
          <w:bCs/>
          <w:sz w:val="24"/>
          <w:szCs w:val="24"/>
        </w:rPr>
        <w:t>,800</w:t>
      </w:r>
      <w:r>
        <w:rPr>
          <w:rFonts w:asciiTheme="minorEastAsia" w:eastAsiaTheme="minorEastAsia" w:hAnsiTheme="minorEastAsia" w:hint="eastAsia"/>
          <w:bCs/>
          <w:sz w:val="24"/>
          <w:szCs w:val="24"/>
        </w:rPr>
        <w:t>万元。</w:t>
      </w:r>
    </w:p>
    <w:p w14:paraId="63B6680A" w14:textId="77777777" w:rsidR="008538D9" w:rsidRPr="00E77EEB" w:rsidRDefault="00766C83" w:rsidP="005E5FF8">
      <w:pPr>
        <w:pStyle w:val="af"/>
        <w:numPr>
          <w:ilvl w:val="0"/>
          <w:numId w:val="2"/>
        </w:numPr>
        <w:pBdr>
          <w:bottom w:val="none" w:sz="0" w:space="5" w:color="000000"/>
        </w:pBdr>
        <w:spacing w:line="360" w:lineRule="auto"/>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hint="eastAsia"/>
          <w:sz w:val="24"/>
          <w:szCs w:val="24"/>
        </w:rPr>
        <w:t>本报告期业绩实现扭亏为盈的主要原因：</w:t>
      </w:r>
    </w:p>
    <w:p w14:paraId="4AF9FB2F" w14:textId="3BE9FAAA" w:rsidR="00E94BDC" w:rsidRDefault="00E94BDC" w:rsidP="008262E2">
      <w:pPr>
        <w:pStyle w:val="af"/>
        <w:pBdr>
          <w:bottom w:val="none" w:sz="0" w:space="5" w:color="000000"/>
        </w:pBdr>
        <w:spacing w:afterLines="50" w:after="120" w:line="360" w:lineRule="auto"/>
        <w:ind w:firstLineChars="200" w:firstLine="480"/>
        <w:rPr>
          <w:rFonts w:asciiTheme="minorEastAsia" w:eastAsiaTheme="minorEastAsia" w:hAnsiTheme="minorEastAsia" w:cs="Arial" w:hint="eastAsia"/>
          <w:color w:val="FF0000"/>
          <w:sz w:val="24"/>
          <w:szCs w:val="24"/>
          <w:shd w:val="clear" w:color="auto" w:fill="FFFFFF"/>
        </w:rPr>
      </w:pPr>
      <w:r w:rsidRPr="00302BB5">
        <w:rPr>
          <w:rFonts w:asciiTheme="minorEastAsia" w:eastAsiaTheme="minorEastAsia" w:hAnsiTheme="minorEastAsia" w:hint="eastAsia"/>
          <w:sz w:val="24"/>
          <w:szCs w:val="24"/>
        </w:rPr>
        <w:t>主要是</w:t>
      </w:r>
      <w:r>
        <w:rPr>
          <w:rFonts w:asciiTheme="minorEastAsia" w:eastAsiaTheme="minorEastAsia" w:hAnsiTheme="minorEastAsia" w:hint="eastAsia"/>
          <w:sz w:val="24"/>
          <w:szCs w:val="24"/>
        </w:rPr>
        <w:t>本期商誉减值计提同比减少；</w:t>
      </w:r>
      <w:r w:rsidRPr="00302BB5">
        <w:rPr>
          <w:rFonts w:asciiTheme="minorEastAsia" w:eastAsiaTheme="minorEastAsia" w:hAnsiTheme="minorEastAsia" w:hint="eastAsia"/>
          <w:sz w:val="24"/>
          <w:szCs w:val="24"/>
        </w:rPr>
        <w:t>药品销售规模同比</w:t>
      </w:r>
      <w:r>
        <w:rPr>
          <w:rFonts w:asciiTheme="minorEastAsia" w:eastAsiaTheme="minorEastAsia" w:hAnsiTheme="minorEastAsia" w:hint="eastAsia"/>
          <w:sz w:val="24"/>
          <w:szCs w:val="24"/>
        </w:rPr>
        <w:t>增长；</w:t>
      </w:r>
      <w:r w:rsidRPr="00302BB5">
        <w:rPr>
          <w:rFonts w:asciiTheme="minorEastAsia" w:eastAsiaTheme="minorEastAsia" w:hAnsiTheme="minorEastAsia" w:hint="eastAsia"/>
          <w:sz w:val="24"/>
          <w:szCs w:val="24"/>
        </w:rPr>
        <w:t>主要产品的生产成本同比下降</w:t>
      </w:r>
      <w:r>
        <w:rPr>
          <w:rFonts w:asciiTheme="minorEastAsia" w:eastAsiaTheme="minorEastAsia" w:hAnsiTheme="minorEastAsia" w:hint="eastAsia"/>
          <w:sz w:val="24"/>
          <w:szCs w:val="24"/>
        </w:rPr>
        <w:t>；</w:t>
      </w:r>
      <w:r w:rsidRPr="00302BB5">
        <w:rPr>
          <w:rFonts w:asciiTheme="minorEastAsia" w:eastAsiaTheme="minorEastAsia" w:hAnsiTheme="minorEastAsia" w:hint="eastAsia"/>
          <w:sz w:val="24"/>
          <w:szCs w:val="24"/>
        </w:rPr>
        <w:t>以及公司收购通化谷红制药有限公司、吉林天成制药有限公司时，形成的评估增值对应的摊销额至2024年末摊销完毕，摊销额同比减少等因素影响。</w:t>
      </w:r>
    </w:p>
    <w:p w14:paraId="69F10EF5" w14:textId="732604A0" w:rsidR="00EE7263" w:rsidRDefault="00766C83" w:rsidP="008262E2">
      <w:pPr>
        <w:pStyle w:val="af"/>
        <w:pBdr>
          <w:bottom w:val="none" w:sz="0" w:space="5" w:color="000000"/>
        </w:pBdr>
        <w:spacing w:afterLines="50" w:after="120" w:line="360" w:lineRule="auto"/>
        <w:ind w:firstLineChars="200" w:firstLine="48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一、本期业绩预计情况</w:t>
      </w:r>
    </w:p>
    <w:p w14:paraId="1EC45688" w14:textId="77777777" w:rsidR="00EE7263" w:rsidRDefault="00766C83" w:rsidP="008262E2">
      <w:pPr>
        <w:pStyle w:val="af"/>
        <w:pBdr>
          <w:bottom w:val="none" w:sz="0" w:space="5" w:color="000000"/>
        </w:pBdr>
        <w:spacing w:afterLines="50" w:after="120" w:line="360" w:lineRule="auto"/>
        <w:ind w:firstLineChars="200" w:firstLine="480"/>
        <w:rPr>
          <w:rFonts w:asciiTheme="minorEastAsia" w:eastAsiaTheme="minorEastAsia" w:hAnsiTheme="minorEastAsia" w:hint="eastAsia"/>
          <w:b/>
          <w:sz w:val="24"/>
          <w:szCs w:val="24"/>
        </w:rPr>
      </w:pPr>
      <w:r>
        <w:rPr>
          <w:rFonts w:asciiTheme="minorEastAsia" w:eastAsiaTheme="minorEastAsia" w:hAnsiTheme="minorEastAsia" w:hint="eastAsia"/>
          <w:sz w:val="24"/>
          <w:szCs w:val="24"/>
        </w:rPr>
        <w:t>（一）业绩预告期间</w:t>
      </w:r>
    </w:p>
    <w:p w14:paraId="532650B1" w14:textId="77777777" w:rsidR="00EE7263" w:rsidRDefault="00766C83" w:rsidP="008262E2">
      <w:pPr>
        <w:pStyle w:val="af"/>
        <w:pBdr>
          <w:bottom w:val="none" w:sz="0" w:space="5" w:color="000000"/>
        </w:pBdr>
        <w:spacing w:afterLines="50" w:after="120"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年1月1日至202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年12月31日</w:t>
      </w:r>
    </w:p>
    <w:p w14:paraId="4F3EC193" w14:textId="77777777" w:rsidR="00EE7263" w:rsidRDefault="00766C83" w:rsidP="008262E2">
      <w:pPr>
        <w:pStyle w:val="af"/>
        <w:numPr>
          <w:ilvl w:val="0"/>
          <w:numId w:val="3"/>
        </w:numPr>
        <w:pBdr>
          <w:bottom w:val="none" w:sz="0" w:space="5" w:color="000000"/>
        </w:pBdr>
        <w:spacing w:afterLines="50" w:after="120" w:line="360" w:lineRule="auto"/>
        <w:ind w:firstLine="492"/>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业绩预告情况</w:t>
      </w:r>
    </w:p>
    <w:p w14:paraId="36B7E0BB" w14:textId="24B3C7B8" w:rsidR="00EE7263" w:rsidRDefault="00766C83" w:rsidP="008262E2">
      <w:pPr>
        <w:pStyle w:val="af"/>
        <w:pBdr>
          <w:bottom w:val="none" w:sz="0" w:space="5" w:color="000000"/>
        </w:pBdr>
        <w:spacing w:afterLines="50" w:after="120" w:line="360" w:lineRule="auto"/>
        <w:ind w:firstLine="492"/>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1、经财务部门初步测算，预计</w:t>
      </w:r>
      <w:r>
        <w:rPr>
          <w:rFonts w:asciiTheme="minorEastAsia" w:eastAsiaTheme="minorEastAsia" w:hAnsiTheme="minorEastAsia"/>
          <w:sz w:val="24"/>
          <w:szCs w:val="24"/>
        </w:rPr>
        <w:t>2025</w:t>
      </w:r>
      <w:r>
        <w:rPr>
          <w:rFonts w:asciiTheme="minorEastAsia" w:eastAsiaTheme="minorEastAsia" w:hAnsiTheme="minorEastAsia" w:hint="eastAsia"/>
          <w:sz w:val="24"/>
          <w:szCs w:val="24"/>
        </w:rPr>
        <w:t>年年度实现归属于母公司所有者的净利润约为</w:t>
      </w:r>
      <w:r w:rsidR="00AA64C4">
        <w:rPr>
          <w:rFonts w:asciiTheme="minorEastAsia" w:eastAsiaTheme="minorEastAsia" w:hAnsiTheme="minorEastAsia" w:hint="eastAsia"/>
          <w:bCs/>
          <w:sz w:val="24"/>
          <w:szCs w:val="24"/>
        </w:rPr>
        <w:t>32</w:t>
      </w:r>
      <w:r w:rsidR="00B4580C">
        <w:rPr>
          <w:rFonts w:asciiTheme="minorEastAsia" w:eastAsiaTheme="minorEastAsia" w:hAnsiTheme="minorEastAsia" w:hint="eastAsia"/>
          <w:bCs/>
          <w:sz w:val="24"/>
          <w:szCs w:val="24"/>
        </w:rPr>
        <w:t>,000</w:t>
      </w:r>
      <w:r>
        <w:rPr>
          <w:rFonts w:asciiTheme="minorEastAsia" w:eastAsiaTheme="minorEastAsia" w:hAnsiTheme="minorEastAsia" w:hint="eastAsia"/>
          <w:bCs/>
          <w:sz w:val="24"/>
          <w:szCs w:val="24"/>
        </w:rPr>
        <w:t>万元到</w:t>
      </w:r>
      <w:r w:rsidR="00B4580C">
        <w:rPr>
          <w:rFonts w:asciiTheme="minorEastAsia" w:eastAsiaTheme="minorEastAsia" w:hAnsiTheme="minorEastAsia" w:hint="eastAsia"/>
          <w:bCs/>
          <w:sz w:val="24"/>
          <w:szCs w:val="24"/>
        </w:rPr>
        <w:t>4</w:t>
      </w:r>
      <w:r w:rsidR="00AA64C4">
        <w:rPr>
          <w:rFonts w:asciiTheme="minorEastAsia" w:eastAsiaTheme="minorEastAsia" w:hAnsiTheme="minorEastAsia" w:hint="eastAsia"/>
          <w:bCs/>
          <w:sz w:val="24"/>
          <w:szCs w:val="24"/>
        </w:rPr>
        <w:t>6</w:t>
      </w:r>
      <w:r w:rsidR="00B4580C">
        <w:rPr>
          <w:rFonts w:asciiTheme="minorEastAsia" w:eastAsiaTheme="minorEastAsia" w:hAnsiTheme="minorEastAsia" w:hint="eastAsia"/>
          <w:bCs/>
          <w:sz w:val="24"/>
          <w:szCs w:val="24"/>
        </w:rPr>
        <w:t>,800</w:t>
      </w:r>
      <w:r>
        <w:rPr>
          <w:rFonts w:asciiTheme="minorEastAsia" w:eastAsiaTheme="minorEastAsia" w:hAnsiTheme="minorEastAsia" w:hint="eastAsia"/>
          <w:bCs/>
          <w:sz w:val="24"/>
          <w:szCs w:val="24"/>
        </w:rPr>
        <w:t>万元</w:t>
      </w:r>
      <w:r>
        <w:rPr>
          <w:rFonts w:asciiTheme="minorEastAsia" w:eastAsiaTheme="minorEastAsia" w:hAnsiTheme="minorEastAsia" w:hint="eastAsia"/>
          <w:sz w:val="24"/>
          <w:szCs w:val="24"/>
        </w:rPr>
        <w:t>，与上年同期相比，将实现扭亏为盈。</w:t>
      </w:r>
    </w:p>
    <w:p w14:paraId="7E27C070" w14:textId="747B3C3A" w:rsidR="00EE7263" w:rsidRDefault="00766C83" w:rsidP="008262E2">
      <w:pPr>
        <w:pStyle w:val="af"/>
        <w:pBdr>
          <w:bottom w:val="none" w:sz="0" w:space="5" w:color="000000"/>
        </w:pBdr>
        <w:spacing w:afterLines="50" w:after="120"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、预计</w:t>
      </w:r>
      <w:r>
        <w:rPr>
          <w:rFonts w:asciiTheme="minorEastAsia" w:eastAsiaTheme="minorEastAsia" w:hAnsiTheme="minorEastAsia"/>
          <w:sz w:val="24"/>
          <w:szCs w:val="24"/>
        </w:rPr>
        <w:t>202</w:t>
      </w:r>
      <w:r>
        <w:rPr>
          <w:rFonts w:asciiTheme="minorEastAsia" w:eastAsiaTheme="minorEastAsia" w:hAnsiTheme="minorEastAsia" w:hint="eastAsia"/>
          <w:sz w:val="24"/>
          <w:szCs w:val="24"/>
        </w:rPr>
        <w:t>5年年度实现归属于母公司所有者的扣除非经常性损益后的净利润约为</w:t>
      </w:r>
      <w:r w:rsidR="00B4580C">
        <w:rPr>
          <w:rFonts w:asciiTheme="minorEastAsia" w:eastAsiaTheme="minorEastAsia" w:hAnsiTheme="minorEastAsia" w:hint="eastAsia"/>
          <w:bCs/>
          <w:sz w:val="24"/>
          <w:szCs w:val="24"/>
        </w:rPr>
        <w:t>5</w:t>
      </w:r>
      <w:r w:rsidR="00AA64C4">
        <w:rPr>
          <w:rFonts w:asciiTheme="minorEastAsia" w:eastAsiaTheme="minorEastAsia" w:hAnsiTheme="minorEastAsia" w:hint="eastAsia"/>
          <w:bCs/>
          <w:sz w:val="24"/>
          <w:szCs w:val="24"/>
        </w:rPr>
        <w:t>9</w:t>
      </w:r>
      <w:r w:rsidR="00B4580C">
        <w:rPr>
          <w:rFonts w:asciiTheme="minorEastAsia" w:eastAsiaTheme="minorEastAsia" w:hAnsiTheme="minorEastAsia" w:hint="eastAsia"/>
          <w:bCs/>
          <w:sz w:val="24"/>
          <w:szCs w:val="24"/>
        </w:rPr>
        <w:t>,000</w:t>
      </w:r>
      <w:r>
        <w:rPr>
          <w:rFonts w:asciiTheme="minorEastAsia" w:eastAsiaTheme="minorEastAsia" w:hAnsiTheme="minorEastAsia" w:hint="eastAsia"/>
          <w:bCs/>
          <w:sz w:val="24"/>
          <w:szCs w:val="24"/>
        </w:rPr>
        <w:t>万元到</w:t>
      </w:r>
      <w:r w:rsidR="00B4580C">
        <w:rPr>
          <w:rFonts w:asciiTheme="minorEastAsia" w:eastAsiaTheme="minorEastAsia" w:hAnsiTheme="minorEastAsia" w:hint="eastAsia"/>
          <w:bCs/>
          <w:sz w:val="24"/>
          <w:szCs w:val="24"/>
        </w:rPr>
        <w:t>8</w:t>
      </w:r>
      <w:r w:rsidR="00AA64C4">
        <w:rPr>
          <w:rFonts w:asciiTheme="minorEastAsia" w:eastAsiaTheme="minorEastAsia" w:hAnsiTheme="minorEastAsia" w:hint="eastAsia"/>
          <w:bCs/>
          <w:sz w:val="24"/>
          <w:szCs w:val="24"/>
        </w:rPr>
        <w:t>6</w:t>
      </w:r>
      <w:r w:rsidR="00B4580C">
        <w:rPr>
          <w:rFonts w:asciiTheme="minorEastAsia" w:eastAsiaTheme="minorEastAsia" w:hAnsiTheme="minorEastAsia" w:hint="eastAsia"/>
          <w:bCs/>
          <w:sz w:val="24"/>
          <w:szCs w:val="24"/>
        </w:rPr>
        <w:t>,800</w:t>
      </w:r>
      <w:r>
        <w:rPr>
          <w:rFonts w:asciiTheme="minorEastAsia" w:eastAsiaTheme="minorEastAsia" w:hAnsiTheme="minorEastAsia" w:hint="eastAsia"/>
          <w:bCs/>
          <w:sz w:val="24"/>
          <w:szCs w:val="24"/>
        </w:rPr>
        <w:t>万元</w:t>
      </w:r>
      <w:r>
        <w:rPr>
          <w:rFonts w:asciiTheme="minorEastAsia" w:eastAsiaTheme="minorEastAsia" w:hAnsiTheme="minorEastAsia" w:hint="eastAsia"/>
          <w:sz w:val="24"/>
          <w:szCs w:val="24"/>
        </w:rPr>
        <w:t>。</w:t>
      </w:r>
    </w:p>
    <w:p w14:paraId="42C76E4F" w14:textId="77777777" w:rsidR="00EE7263" w:rsidRDefault="00766C83" w:rsidP="008262E2">
      <w:pPr>
        <w:pStyle w:val="af"/>
        <w:pBdr>
          <w:bottom w:val="none" w:sz="0" w:space="5" w:color="000000"/>
        </w:pBdr>
        <w:spacing w:afterLines="50" w:after="120"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（三）本次业绩预告未经注册会计师审计。</w:t>
      </w:r>
    </w:p>
    <w:p w14:paraId="0347A0EA" w14:textId="77777777" w:rsidR="00EE7263" w:rsidRDefault="00766C83" w:rsidP="008262E2">
      <w:pPr>
        <w:pStyle w:val="af"/>
        <w:pBdr>
          <w:bottom w:val="none" w:sz="0" w:space="5" w:color="000000"/>
        </w:pBdr>
        <w:spacing w:afterLines="50" w:after="120" w:line="360" w:lineRule="auto"/>
        <w:ind w:firstLine="493"/>
        <w:rPr>
          <w:rFonts w:ascii="宋体" w:hAnsi="宋体" w:cs="Arial" w:hint="eastAsia"/>
          <w:b/>
          <w:kern w:val="0"/>
          <w:sz w:val="24"/>
          <w:szCs w:val="24"/>
        </w:rPr>
      </w:pPr>
      <w:r>
        <w:rPr>
          <w:rFonts w:ascii="宋体" w:hAnsi="宋体" w:cs="Arial" w:hint="eastAsia"/>
          <w:b/>
          <w:kern w:val="0"/>
          <w:sz w:val="24"/>
          <w:szCs w:val="24"/>
        </w:rPr>
        <w:t>二、上年同期业绩情况</w:t>
      </w:r>
    </w:p>
    <w:p w14:paraId="5628517A" w14:textId="336CFD9B" w:rsidR="00EE7263" w:rsidRDefault="00766C83" w:rsidP="008262E2">
      <w:pPr>
        <w:pStyle w:val="af"/>
        <w:pBdr>
          <w:bottom w:val="none" w:sz="0" w:space="5" w:color="000000"/>
        </w:pBdr>
        <w:spacing w:afterLines="50" w:after="120" w:line="360" w:lineRule="auto"/>
        <w:ind w:firstLine="492"/>
        <w:rPr>
          <w:rFonts w:ascii="宋体" w:hAnsi="宋体" w:cs="Arial" w:hint="eastAsia"/>
          <w:bCs/>
          <w:kern w:val="0"/>
          <w:sz w:val="24"/>
          <w:szCs w:val="24"/>
        </w:rPr>
      </w:pPr>
      <w:r>
        <w:rPr>
          <w:rFonts w:ascii="宋体" w:hAnsi="宋体" w:cs="Arial"/>
          <w:bCs/>
          <w:kern w:val="0"/>
          <w:sz w:val="24"/>
          <w:szCs w:val="24"/>
        </w:rPr>
        <w:t>（一）</w:t>
      </w:r>
      <w:r>
        <w:rPr>
          <w:rFonts w:ascii="宋体" w:hAnsi="宋体" w:cs="Arial" w:hint="eastAsia"/>
          <w:bCs/>
          <w:kern w:val="0"/>
          <w:sz w:val="24"/>
          <w:szCs w:val="24"/>
        </w:rPr>
        <w:t>归属于母公司所有者的净利润：</w:t>
      </w:r>
      <w:r w:rsidR="00B4580C" w:rsidRPr="00B4580C">
        <w:rPr>
          <w:rFonts w:ascii="宋体" w:hAnsi="宋体" w:cs="Arial"/>
          <w:bCs/>
          <w:kern w:val="0"/>
          <w:sz w:val="24"/>
          <w:szCs w:val="24"/>
        </w:rPr>
        <w:t>-55,379</w:t>
      </w:r>
      <w:r w:rsidR="00B4580C">
        <w:rPr>
          <w:rFonts w:ascii="宋体" w:hAnsi="宋体" w:cs="Arial" w:hint="eastAsia"/>
          <w:bCs/>
          <w:kern w:val="0"/>
          <w:sz w:val="24"/>
          <w:szCs w:val="24"/>
        </w:rPr>
        <w:t>.</w:t>
      </w:r>
      <w:r w:rsidR="00B4580C" w:rsidRPr="00B4580C">
        <w:rPr>
          <w:rFonts w:ascii="宋体" w:hAnsi="宋体" w:cs="Arial"/>
          <w:bCs/>
          <w:kern w:val="0"/>
          <w:sz w:val="24"/>
          <w:szCs w:val="24"/>
        </w:rPr>
        <w:t>79</w:t>
      </w:r>
      <w:r>
        <w:rPr>
          <w:rFonts w:ascii="宋体" w:hAnsi="宋体" w:cs="Arial" w:hint="eastAsia"/>
          <w:bCs/>
          <w:kern w:val="0"/>
          <w:sz w:val="24"/>
          <w:szCs w:val="24"/>
        </w:rPr>
        <w:t>万元。归属于母公司所有者的扣除非经常性损益的净利润：</w:t>
      </w:r>
      <w:r w:rsidR="00B4580C" w:rsidRPr="00B4580C">
        <w:rPr>
          <w:rFonts w:ascii="宋体" w:hAnsi="宋体" w:cs="Arial"/>
          <w:bCs/>
          <w:kern w:val="0"/>
          <w:sz w:val="24"/>
          <w:szCs w:val="24"/>
        </w:rPr>
        <w:t>-49,270</w:t>
      </w:r>
      <w:r w:rsidR="00B4580C">
        <w:rPr>
          <w:rFonts w:ascii="宋体" w:hAnsi="宋体" w:cs="Arial" w:hint="eastAsia"/>
          <w:bCs/>
          <w:kern w:val="0"/>
          <w:sz w:val="24"/>
          <w:szCs w:val="24"/>
        </w:rPr>
        <w:t>.20</w:t>
      </w:r>
      <w:r>
        <w:rPr>
          <w:rFonts w:ascii="宋体" w:hAnsi="宋体" w:cs="Arial" w:hint="eastAsia"/>
          <w:bCs/>
          <w:kern w:val="0"/>
          <w:sz w:val="24"/>
          <w:szCs w:val="24"/>
        </w:rPr>
        <w:t>万元。</w:t>
      </w:r>
    </w:p>
    <w:p w14:paraId="0AF6CC9E" w14:textId="33D407E7" w:rsidR="00EE7263" w:rsidRDefault="00766C83" w:rsidP="008262E2">
      <w:pPr>
        <w:pStyle w:val="af"/>
        <w:pBdr>
          <w:bottom w:val="none" w:sz="0" w:space="5" w:color="000000"/>
        </w:pBdr>
        <w:spacing w:afterLines="50" w:after="120" w:line="360" w:lineRule="auto"/>
        <w:ind w:firstLine="492"/>
        <w:rPr>
          <w:rFonts w:ascii="宋体" w:hAnsi="宋体" w:cs="Arial" w:hint="eastAsia"/>
          <w:bCs/>
          <w:kern w:val="0"/>
          <w:sz w:val="24"/>
          <w:szCs w:val="24"/>
        </w:rPr>
      </w:pPr>
      <w:r>
        <w:rPr>
          <w:rFonts w:ascii="宋体" w:hAnsi="宋体" w:cs="Arial"/>
          <w:bCs/>
          <w:kern w:val="0"/>
          <w:sz w:val="24"/>
          <w:szCs w:val="24"/>
        </w:rPr>
        <w:t>（二）每股收益：</w:t>
      </w:r>
      <w:r w:rsidR="00B4580C" w:rsidRPr="00B4580C">
        <w:rPr>
          <w:rFonts w:ascii="宋体" w:hAnsi="宋体" w:cs="Arial"/>
          <w:bCs/>
          <w:kern w:val="0"/>
          <w:sz w:val="24"/>
          <w:szCs w:val="24"/>
        </w:rPr>
        <w:t>-0.5110</w:t>
      </w:r>
      <w:r>
        <w:rPr>
          <w:rFonts w:ascii="宋体" w:hAnsi="宋体" w:cs="Arial"/>
          <w:bCs/>
          <w:kern w:val="0"/>
          <w:sz w:val="24"/>
          <w:szCs w:val="24"/>
        </w:rPr>
        <w:t>元</w:t>
      </w:r>
      <w:r>
        <w:rPr>
          <w:rFonts w:ascii="宋体" w:hAnsi="宋体" w:cs="Arial" w:hint="eastAsia"/>
          <w:bCs/>
          <w:kern w:val="0"/>
          <w:sz w:val="24"/>
          <w:szCs w:val="24"/>
        </w:rPr>
        <w:t>。</w:t>
      </w:r>
    </w:p>
    <w:p w14:paraId="69D9D248" w14:textId="77777777" w:rsidR="00EE7263" w:rsidRDefault="00766C83" w:rsidP="008262E2">
      <w:pPr>
        <w:pStyle w:val="af"/>
        <w:pBdr>
          <w:bottom w:val="none" w:sz="0" w:space="5" w:color="000000"/>
        </w:pBdr>
        <w:spacing w:afterLines="50" w:after="120" w:line="360" w:lineRule="auto"/>
        <w:ind w:firstLine="492"/>
        <w:rPr>
          <w:rFonts w:ascii="宋体" w:hAnsi="宋体" w:cs="Arial" w:hint="eastAsia"/>
          <w:b/>
          <w:kern w:val="0"/>
          <w:sz w:val="24"/>
          <w:szCs w:val="24"/>
        </w:rPr>
      </w:pPr>
      <w:r>
        <w:rPr>
          <w:rFonts w:ascii="宋体" w:hAnsi="宋体" w:cs="Arial" w:hint="eastAsia"/>
          <w:b/>
          <w:kern w:val="0"/>
          <w:sz w:val="24"/>
          <w:szCs w:val="24"/>
        </w:rPr>
        <w:t>三、本期业绩扭亏为盈的主要原因</w:t>
      </w:r>
    </w:p>
    <w:p w14:paraId="6846A587" w14:textId="141BF2C5" w:rsidR="00E77EEB" w:rsidRPr="005E5FF8" w:rsidRDefault="005E5FF8" w:rsidP="008262E2">
      <w:pPr>
        <w:pStyle w:val="af"/>
        <w:pBdr>
          <w:bottom w:val="none" w:sz="0" w:space="5" w:color="000000"/>
        </w:pBdr>
        <w:spacing w:afterLines="50" w:after="120" w:line="360" w:lineRule="auto"/>
        <w:ind w:firstLine="492"/>
        <w:rPr>
          <w:rFonts w:ascii="宋体" w:hAnsi="宋体" w:cs="Arial" w:hint="eastAsia"/>
          <w:bCs/>
          <w:kern w:val="0"/>
          <w:sz w:val="24"/>
          <w:szCs w:val="24"/>
        </w:rPr>
      </w:pPr>
      <w:r w:rsidRPr="005E5FF8">
        <w:rPr>
          <w:rFonts w:ascii="宋体" w:hAnsi="宋体" w:cs="Arial" w:hint="eastAsia"/>
          <w:bCs/>
          <w:kern w:val="0"/>
          <w:sz w:val="24"/>
          <w:szCs w:val="24"/>
        </w:rPr>
        <w:t>（一）</w:t>
      </w:r>
      <w:r w:rsidR="00E77EEB" w:rsidRPr="005E5FF8">
        <w:rPr>
          <w:rFonts w:ascii="宋体" w:hAnsi="宋体" w:cs="Arial"/>
          <w:bCs/>
          <w:kern w:val="0"/>
          <w:sz w:val="24"/>
          <w:szCs w:val="24"/>
        </w:rPr>
        <w:t>公司上年度根据商誉减值测试结果计提85,303.49万元商誉减值准备,本期结合相关标的公司业绩完成情况以及未来市场预期，经公司初步测算，拟计提商誉减值准备合计约1</w:t>
      </w:r>
      <w:r w:rsidR="00E77EEB" w:rsidRPr="005E5FF8">
        <w:rPr>
          <w:rFonts w:ascii="宋体" w:hAnsi="宋体" w:cs="Arial" w:hint="eastAsia"/>
          <w:bCs/>
          <w:kern w:val="0"/>
          <w:sz w:val="24"/>
          <w:szCs w:val="24"/>
        </w:rPr>
        <w:t>6</w:t>
      </w:r>
      <w:r w:rsidR="00E77EEB" w:rsidRPr="005E5FF8">
        <w:rPr>
          <w:rFonts w:ascii="宋体" w:hAnsi="宋体" w:cs="Arial"/>
          <w:bCs/>
          <w:kern w:val="0"/>
          <w:sz w:val="24"/>
          <w:szCs w:val="24"/>
        </w:rPr>
        <w:t>,000万元至2</w:t>
      </w:r>
      <w:r w:rsidR="00E77EEB" w:rsidRPr="005E5FF8">
        <w:rPr>
          <w:rFonts w:ascii="宋体" w:hAnsi="宋体" w:cs="Arial" w:hint="eastAsia"/>
          <w:bCs/>
          <w:kern w:val="0"/>
          <w:sz w:val="24"/>
          <w:szCs w:val="24"/>
        </w:rPr>
        <w:t>3</w:t>
      </w:r>
      <w:r w:rsidR="00E77EEB" w:rsidRPr="005E5FF8">
        <w:rPr>
          <w:rFonts w:ascii="宋体" w:hAnsi="宋体" w:cs="Arial"/>
          <w:bCs/>
          <w:kern w:val="0"/>
          <w:sz w:val="24"/>
          <w:szCs w:val="24"/>
        </w:rPr>
        <w:t>,800万元，较上年同期减少</w:t>
      </w:r>
      <w:r w:rsidR="00E77EEB" w:rsidRPr="005E5FF8">
        <w:rPr>
          <w:rFonts w:ascii="宋体" w:hAnsi="宋体" w:cs="Arial" w:hint="eastAsia"/>
          <w:bCs/>
          <w:kern w:val="0"/>
          <w:sz w:val="24"/>
          <w:szCs w:val="24"/>
        </w:rPr>
        <w:t>61</w:t>
      </w:r>
      <w:r w:rsidR="00E77EEB" w:rsidRPr="005E5FF8">
        <w:rPr>
          <w:rFonts w:ascii="宋体" w:hAnsi="宋体" w:cs="Arial"/>
          <w:bCs/>
          <w:kern w:val="0"/>
          <w:sz w:val="24"/>
          <w:szCs w:val="24"/>
        </w:rPr>
        <w:t>,503.49万元至6</w:t>
      </w:r>
      <w:r w:rsidR="00E77EEB" w:rsidRPr="005E5FF8">
        <w:rPr>
          <w:rFonts w:ascii="宋体" w:hAnsi="宋体" w:cs="Arial" w:hint="eastAsia"/>
          <w:bCs/>
          <w:kern w:val="0"/>
          <w:sz w:val="24"/>
          <w:szCs w:val="24"/>
        </w:rPr>
        <w:t>9</w:t>
      </w:r>
      <w:r w:rsidR="00E77EEB" w:rsidRPr="005E5FF8">
        <w:rPr>
          <w:rFonts w:ascii="宋体" w:hAnsi="宋体" w:cs="Arial"/>
          <w:bCs/>
          <w:kern w:val="0"/>
          <w:sz w:val="24"/>
          <w:szCs w:val="24"/>
        </w:rPr>
        <w:t>,303.49万元</w:t>
      </w:r>
      <w:r w:rsidR="006C5305" w:rsidRPr="005E5FF8">
        <w:rPr>
          <w:rFonts w:ascii="宋体" w:hAnsi="宋体" w:cs="Arial" w:hint="eastAsia"/>
          <w:bCs/>
          <w:kern w:val="0"/>
          <w:sz w:val="24"/>
          <w:szCs w:val="24"/>
        </w:rPr>
        <w:t>；</w:t>
      </w:r>
    </w:p>
    <w:p w14:paraId="79490880" w14:textId="746C1F20" w:rsidR="00E77EEB" w:rsidRPr="005E5FF8" w:rsidRDefault="005E5FF8" w:rsidP="008262E2">
      <w:pPr>
        <w:pStyle w:val="af"/>
        <w:pBdr>
          <w:bottom w:val="none" w:sz="0" w:space="5" w:color="000000"/>
        </w:pBdr>
        <w:spacing w:afterLines="50" w:after="120" w:line="360" w:lineRule="auto"/>
        <w:ind w:firstLine="492"/>
        <w:rPr>
          <w:rFonts w:ascii="宋体" w:hAnsi="宋体" w:cs="Arial" w:hint="eastAsia"/>
          <w:bCs/>
          <w:kern w:val="0"/>
          <w:sz w:val="24"/>
          <w:szCs w:val="24"/>
        </w:rPr>
      </w:pPr>
      <w:r w:rsidRPr="005E5FF8">
        <w:rPr>
          <w:rFonts w:ascii="宋体" w:hAnsi="宋体" w:cs="Arial" w:hint="eastAsia"/>
          <w:bCs/>
          <w:kern w:val="0"/>
          <w:sz w:val="24"/>
          <w:szCs w:val="24"/>
        </w:rPr>
        <w:t>（二）</w:t>
      </w:r>
      <w:r w:rsidR="00E77EEB" w:rsidRPr="005E5FF8">
        <w:rPr>
          <w:rFonts w:ascii="宋体" w:hAnsi="宋体" w:cs="Arial" w:hint="eastAsia"/>
          <w:bCs/>
          <w:kern w:val="0"/>
          <w:sz w:val="24"/>
          <w:szCs w:val="24"/>
        </w:rPr>
        <w:t>本期药品销售规模同比增长；主要产品的生产成本同比下降；以及公司收购通化谷红制药有限公司、吉林天成制药有限公司时，形成的评估增值对应的摊销额至</w:t>
      </w:r>
      <w:r w:rsidR="00E77EEB" w:rsidRPr="005E5FF8">
        <w:rPr>
          <w:rFonts w:ascii="宋体" w:hAnsi="宋体" w:cs="Arial"/>
          <w:bCs/>
          <w:kern w:val="0"/>
          <w:sz w:val="24"/>
          <w:szCs w:val="24"/>
        </w:rPr>
        <w:t>2024年末摊销完毕，摊销额同比减少</w:t>
      </w:r>
      <w:r w:rsidR="00E77EEB" w:rsidRPr="005E5FF8">
        <w:rPr>
          <w:rFonts w:ascii="宋体" w:hAnsi="宋体" w:cs="Arial" w:hint="eastAsia"/>
          <w:bCs/>
          <w:kern w:val="0"/>
          <w:sz w:val="24"/>
          <w:szCs w:val="24"/>
        </w:rPr>
        <w:t>均对公司本年利润产生积极影响。</w:t>
      </w:r>
    </w:p>
    <w:p w14:paraId="05EB4E65" w14:textId="77777777" w:rsidR="00EE7263" w:rsidRDefault="00766C83" w:rsidP="008262E2">
      <w:pPr>
        <w:pStyle w:val="af"/>
        <w:pBdr>
          <w:bottom w:val="none" w:sz="0" w:space="5" w:color="000000"/>
        </w:pBdr>
        <w:spacing w:afterLines="50" w:after="120" w:line="360" w:lineRule="auto"/>
        <w:ind w:firstLineChars="200" w:firstLine="482"/>
        <w:rPr>
          <w:rFonts w:asciiTheme="minorEastAsia" w:eastAsiaTheme="minorEastAsia" w:hAnsiTheme="minorEastAsia" w:cs="Arial" w:hint="eastAsia"/>
          <w:b/>
          <w:bCs/>
          <w:sz w:val="24"/>
          <w:szCs w:val="24"/>
          <w:shd w:val="clear" w:color="auto" w:fill="FFFFFF"/>
        </w:rPr>
      </w:pPr>
      <w:r>
        <w:rPr>
          <w:rFonts w:asciiTheme="minorEastAsia" w:eastAsiaTheme="minorEastAsia" w:hAnsiTheme="minorEastAsia" w:cs="Arial" w:hint="eastAsia"/>
          <w:b/>
          <w:bCs/>
          <w:sz w:val="24"/>
          <w:szCs w:val="24"/>
          <w:shd w:val="clear" w:color="auto" w:fill="FFFFFF"/>
        </w:rPr>
        <w:t>四、风险提示</w:t>
      </w:r>
    </w:p>
    <w:p w14:paraId="26C7888E" w14:textId="77777777" w:rsidR="00EE7263" w:rsidRDefault="00766C83" w:rsidP="008262E2">
      <w:pPr>
        <w:pStyle w:val="af"/>
        <w:pBdr>
          <w:bottom w:val="none" w:sz="0" w:space="5" w:color="000000"/>
        </w:pBdr>
        <w:spacing w:afterLines="50" w:after="120" w:line="360" w:lineRule="auto"/>
        <w:ind w:firstLineChars="200" w:firstLine="480"/>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截至本公告日，公司未发现可能影响本次业绩预告内容准确性的重大不确定</w:t>
      </w:r>
    </w:p>
    <w:p w14:paraId="0FD5CA0A" w14:textId="77777777" w:rsidR="00EE7263" w:rsidRDefault="00766C83" w:rsidP="008262E2">
      <w:pPr>
        <w:pStyle w:val="af"/>
        <w:pBdr>
          <w:bottom w:val="none" w:sz="0" w:space="5" w:color="000000"/>
        </w:pBdr>
        <w:spacing w:afterLines="50" w:after="120" w:line="360" w:lineRule="auto"/>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因素。</w:t>
      </w:r>
    </w:p>
    <w:p w14:paraId="32FFFF69" w14:textId="77777777" w:rsidR="00EE7263" w:rsidRDefault="00766C83" w:rsidP="008262E2">
      <w:pPr>
        <w:pStyle w:val="af"/>
        <w:pBdr>
          <w:bottom w:val="none" w:sz="0" w:space="5" w:color="000000"/>
        </w:pBdr>
        <w:spacing w:afterLines="50" w:after="120" w:line="360" w:lineRule="auto"/>
        <w:ind w:firstLineChars="200" w:firstLine="482"/>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b/>
          <w:bCs/>
          <w:sz w:val="24"/>
          <w:szCs w:val="24"/>
          <w:shd w:val="clear" w:color="auto" w:fill="FFFFFF"/>
        </w:rPr>
        <w:t>五、其他相关说明</w:t>
      </w:r>
    </w:p>
    <w:p w14:paraId="19E4E5D7" w14:textId="77777777" w:rsidR="00EE7263" w:rsidRDefault="00766C83" w:rsidP="008262E2">
      <w:pPr>
        <w:pStyle w:val="af"/>
        <w:pBdr>
          <w:bottom w:val="none" w:sz="0" w:space="5" w:color="000000"/>
        </w:pBdr>
        <w:spacing w:afterLines="50" w:after="120" w:line="360" w:lineRule="auto"/>
        <w:ind w:firstLineChars="200" w:firstLine="480"/>
        <w:rPr>
          <w:rFonts w:ascii="宋体" w:hAnsi="宋体" w:cs="Arial" w:hint="eastAsia"/>
          <w:bCs/>
          <w:kern w:val="0"/>
          <w:sz w:val="24"/>
          <w:szCs w:val="24"/>
        </w:rPr>
      </w:pPr>
      <w:r>
        <w:rPr>
          <w:rFonts w:ascii="宋体" w:hAnsi="宋体" w:cs="Arial" w:hint="eastAsia"/>
          <w:bCs/>
          <w:kern w:val="0"/>
          <w:sz w:val="24"/>
          <w:szCs w:val="24"/>
        </w:rPr>
        <w:t>以上预告数据仅为公司初步核算数据，具体准确的财务数据以公司正式披露的经审计后的202</w:t>
      </w:r>
      <w:r>
        <w:rPr>
          <w:rFonts w:ascii="宋体" w:hAnsi="宋体" w:cs="Arial"/>
          <w:bCs/>
          <w:kern w:val="0"/>
          <w:sz w:val="24"/>
          <w:szCs w:val="24"/>
        </w:rPr>
        <w:t>5</w:t>
      </w:r>
      <w:r>
        <w:rPr>
          <w:rFonts w:ascii="宋体" w:hAnsi="宋体" w:cs="Arial" w:hint="eastAsia"/>
          <w:bCs/>
          <w:kern w:val="0"/>
          <w:sz w:val="24"/>
          <w:szCs w:val="24"/>
        </w:rPr>
        <w:t>年年度报告为准，敬请广大投资者注意投资风险。</w:t>
      </w:r>
    </w:p>
    <w:p w14:paraId="37EB4C2F" w14:textId="77777777" w:rsidR="00EE7263" w:rsidRDefault="00EE7263" w:rsidP="008262E2">
      <w:pPr>
        <w:pStyle w:val="af"/>
        <w:pBdr>
          <w:bottom w:val="none" w:sz="0" w:space="5" w:color="000000"/>
        </w:pBdr>
        <w:spacing w:afterLines="50" w:after="120" w:line="360" w:lineRule="auto"/>
        <w:ind w:firstLineChars="200" w:firstLine="480"/>
        <w:rPr>
          <w:rFonts w:asciiTheme="minorEastAsia" w:eastAsiaTheme="minorEastAsia" w:hAnsiTheme="minorEastAsia" w:cs="Arial" w:hint="eastAsia"/>
          <w:sz w:val="24"/>
          <w:szCs w:val="24"/>
          <w:shd w:val="clear" w:color="auto" w:fill="FFFFFF"/>
        </w:rPr>
      </w:pPr>
    </w:p>
    <w:p w14:paraId="44BA281F" w14:textId="77777777" w:rsidR="00EE7263" w:rsidRDefault="00766C83" w:rsidP="008262E2">
      <w:pPr>
        <w:pStyle w:val="af"/>
        <w:pBdr>
          <w:bottom w:val="none" w:sz="0" w:space="5" w:color="000000"/>
        </w:pBdr>
        <w:spacing w:afterLines="50" w:after="120" w:line="360" w:lineRule="auto"/>
        <w:ind w:firstLineChars="200" w:firstLine="480"/>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特此公告。</w:t>
      </w:r>
    </w:p>
    <w:p w14:paraId="3562E38A" w14:textId="77777777" w:rsidR="00EE7263" w:rsidRDefault="00EE7263" w:rsidP="008262E2">
      <w:pPr>
        <w:pStyle w:val="af"/>
        <w:pBdr>
          <w:bottom w:val="none" w:sz="0" w:space="5" w:color="000000"/>
        </w:pBdr>
        <w:spacing w:afterLines="50" w:after="120" w:line="360" w:lineRule="auto"/>
        <w:rPr>
          <w:rFonts w:asciiTheme="minorEastAsia" w:eastAsiaTheme="minorEastAsia" w:hAnsiTheme="minorEastAsia" w:cs="KAPJJC+ËÎÌå" w:hint="eastAsia"/>
          <w:sz w:val="24"/>
          <w:szCs w:val="24"/>
        </w:rPr>
      </w:pPr>
    </w:p>
    <w:p w14:paraId="4A669558" w14:textId="77777777" w:rsidR="00EE7263" w:rsidRDefault="00766C83">
      <w:pPr>
        <w:autoSpaceDE w:val="0"/>
        <w:autoSpaceDN w:val="0"/>
        <w:spacing w:line="360" w:lineRule="auto"/>
        <w:ind w:firstLineChars="200" w:firstLine="480"/>
        <w:jc w:val="right"/>
        <w:rPr>
          <w:rFonts w:asciiTheme="minorEastAsia" w:eastAsiaTheme="minorEastAsia" w:hAnsiTheme="minorEastAsia" w:cs="KAPJJC+ËÎÌå" w:hint="eastAsia"/>
          <w:sz w:val="24"/>
          <w:szCs w:val="24"/>
        </w:rPr>
      </w:pPr>
      <w:r>
        <w:rPr>
          <w:rFonts w:asciiTheme="minorEastAsia" w:eastAsiaTheme="minorEastAsia" w:hAnsiTheme="minorEastAsia" w:cs="KAPJJC+ËÎÌå" w:hint="eastAsia"/>
          <w:sz w:val="24"/>
          <w:szCs w:val="24"/>
        </w:rPr>
        <w:t>山东步长制药股份有限公司董事会</w:t>
      </w:r>
    </w:p>
    <w:p w14:paraId="72C25B5C" w14:textId="77777777" w:rsidR="00EE7263" w:rsidRDefault="00766C83">
      <w:pPr>
        <w:wordWrap w:val="0"/>
        <w:autoSpaceDE w:val="0"/>
        <w:autoSpaceDN w:val="0"/>
        <w:spacing w:line="360" w:lineRule="auto"/>
        <w:ind w:right="1200" w:firstLineChars="200" w:firstLine="480"/>
        <w:jc w:val="right"/>
        <w:rPr>
          <w:rFonts w:asciiTheme="minorEastAsia" w:eastAsiaTheme="minorEastAsia" w:hAnsiTheme="minorEastAsia" w:cs="KAPJJC+ËÎÌå" w:hint="eastAsia"/>
          <w:color w:val="000000"/>
          <w:sz w:val="24"/>
          <w:szCs w:val="24"/>
        </w:rPr>
      </w:pPr>
      <w:r>
        <w:rPr>
          <w:rFonts w:asciiTheme="minorEastAsia" w:eastAsiaTheme="minorEastAsia" w:hAnsiTheme="minorEastAsia" w:hint="eastAsia"/>
          <w:sz w:val="24"/>
          <w:szCs w:val="24"/>
        </w:rPr>
        <w:t>20</w:t>
      </w:r>
      <w:r>
        <w:rPr>
          <w:rFonts w:asciiTheme="minorEastAsia" w:eastAsiaTheme="minorEastAsia" w:hAnsiTheme="minorEastAsia"/>
          <w:sz w:val="24"/>
          <w:szCs w:val="24"/>
        </w:rPr>
        <w:t>26</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w:t>
      </w:r>
      <w:r>
        <w:rPr>
          <w:rFonts w:asciiTheme="minorEastAsia" w:eastAsiaTheme="minorEastAsia" w:hAnsiTheme="minorEastAsia" w:hint="eastAsia"/>
          <w:sz w:val="24"/>
          <w:szCs w:val="24"/>
        </w:rPr>
        <w:t>月</w:t>
      </w:r>
      <w:r>
        <w:rPr>
          <w:rFonts w:asciiTheme="minorEastAsia" w:eastAsiaTheme="minorEastAsia" w:hAnsiTheme="minorEastAsia"/>
          <w:sz w:val="24"/>
          <w:szCs w:val="24"/>
        </w:rPr>
        <w:t>28</w:t>
      </w:r>
      <w:r>
        <w:rPr>
          <w:rFonts w:asciiTheme="minorEastAsia" w:eastAsiaTheme="minorEastAsia" w:hAnsiTheme="minorEastAsia" w:hint="eastAsia"/>
          <w:sz w:val="24"/>
          <w:szCs w:val="24"/>
        </w:rPr>
        <w:t>日</w:t>
      </w:r>
    </w:p>
    <w:sectPr w:rsidR="00EE7263">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067F" w14:textId="77777777" w:rsidR="00E461DE" w:rsidRDefault="00E461DE" w:rsidP="00DC32B5">
      <w:r>
        <w:separator/>
      </w:r>
    </w:p>
  </w:endnote>
  <w:endnote w:type="continuationSeparator" w:id="0">
    <w:p w14:paraId="742E4370" w14:textId="77777777" w:rsidR="00E461DE" w:rsidRDefault="00E461DE" w:rsidP="00DC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KAPJJC+ËÎÌå">
    <w:altName w:val="Segoe Print"/>
    <w:charset w:val="00"/>
    <w:family w:val="auto"/>
    <w:pitch w:val="default"/>
    <w:sig w:usb0="00000000" w:usb1="00000000" w:usb2="01010101" w:usb3="01010101" w:csb0="01010101" w:csb1="01010101"/>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AF3E" w14:textId="77777777" w:rsidR="00E461DE" w:rsidRDefault="00E461DE" w:rsidP="00DC32B5">
      <w:r>
        <w:separator/>
      </w:r>
    </w:p>
  </w:footnote>
  <w:footnote w:type="continuationSeparator" w:id="0">
    <w:p w14:paraId="225C8931" w14:textId="77777777" w:rsidR="00E461DE" w:rsidRDefault="00E461DE" w:rsidP="00DC3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EA85F"/>
    <w:multiLevelType w:val="singleLevel"/>
    <w:tmpl w:val="B1AEA85F"/>
    <w:lvl w:ilvl="0">
      <w:start w:val="1"/>
      <w:numFmt w:val="bullet"/>
      <w:lvlText w:val=""/>
      <w:lvlJc w:val="left"/>
      <w:pPr>
        <w:ind w:left="420" w:hanging="420"/>
      </w:pPr>
      <w:rPr>
        <w:rFonts w:ascii="Wingdings" w:hAnsi="Wingdings" w:hint="default"/>
      </w:rPr>
    </w:lvl>
  </w:abstractNum>
  <w:abstractNum w:abstractNumId="1" w15:restartNumberingAfterBreak="0">
    <w:nsid w:val="30D52A0A"/>
    <w:multiLevelType w:val="singleLevel"/>
    <w:tmpl w:val="30D52A0A"/>
    <w:lvl w:ilvl="0">
      <w:start w:val="2"/>
      <w:numFmt w:val="chineseCounting"/>
      <w:suff w:val="nothing"/>
      <w:lvlText w:val="（%1）"/>
      <w:lvlJc w:val="left"/>
      <w:rPr>
        <w:rFonts w:hint="eastAsia"/>
      </w:rPr>
    </w:lvl>
  </w:abstractNum>
  <w:abstractNum w:abstractNumId="2" w15:restartNumberingAfterBreak="0">
    <w:nsid w:val="75A52683"/>
    <w:multiLevelType w:val="singleLevel"/>
    <w:tmpl w:val="75A52683"/>
    <w:lvl w:ilvl="0">
      <w:start w:val="1"/>
      <w:numFmt w:val="bullet"/>
      <w:lvlText w:val=""/>
      <w:lvlJc w:val="left"/>
      <w:pPr>
        <w:ind w:left="420" w:hanging="420"/>
      </w:pPr>
      <w:rPr>
        <w:rFonts w:ascii="Wingdings" w:hAnsi="Wingdings" w:hint="default"/>
      </w:rPr>
    </w:lvl>
  </w:abstractNum>
  <w:num w:numId="1" w16cid:durableId="1995792393">
    <w:abstractNumId w:val="0"/>
  </w:num>
  <w:num w:numId="2" w16cid:durableId="1212158573">
    <w:abstractNumId w:val="2"/>
  </w:num>
  <w:num w:numId="3" w16cid:durableId="206275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VhZjQ0YzkxMzM0NzJmNmEyZTU2NDA1MTcwYmE2MDYifQ=="/>
  </w:docVars>
  <w:rsids>
    <w:rsidRoot w:val="00AC7A56"/>
    <w:rsid w:val="00001F8F"/>
    <w:rsid w:val="00002F0A"/>
    <w:rsid w:val="000035F9"/>
    <w:rsid w:val="0000667D"/>
    <w:rsid w:val="000126A2"/>
    <w:rsid w:val="00016E54"/>
    <w:rsid w:val="000251E1"/>
    <w:rsid w:val="00025AB6"/>
    <w:rsid w:val="00037F63"/>
    <w:rsid w:val="000429C0"/>
    <w:rsid w:val="00044DF5"/>
    <w:rsid w:val="000527BB"/>
    <w:rsid w:val="00053292"/>
    <w:rsid w:val="00056594"/>
    <w:rsid w:val="00060334"/>
    <w:rsid w:val="000620C6"/>
    <w:rsid w:val="00071EBD"/>
    <w:rsid w:val="00073478"/>
    <w:rsid w:val="00074EA5"/>
    <w:rsid w:val="00075036"/>
    <w:rsid w:val="000855A6"/>
    <w:rsid w:val="000862A8"/>
    <w:rsid w:val="0008654E"/>
    <w:rsid w:val="000940C7"/>
    <w:rsid w:val="0009464B"/>
    <w:rsid w:val="000A1DC0"/>
    <w:rsid w:val="000A6C13"/>
    <w:rsid w:val="000B1E95"/>
    <w:rsid w:val="000B2FDE"/>
    <w:rsid w:val="000B61CE"/>
    <w:rsid w:val="000C7ACD"/>
    <w:rsid w:val="000C7C47"/>
    <w:rsid w:val="000D3AD7"/>
    <w:rsid w:val="000D4225"/>
    <w:rsid w:val="000D43BA"/>
    <w:rsid w:val="000E4080"/>
    <w:rsid w:val="000F1416"/>
    <w:rsid w:val="000F1C51"/>
    <w:rsid w:val="001068A1"/>
    <w:rsid w:val="00110672"/>
    <w:rsid w:val="00111355"/>
    <w:rsid w:val="00143414"/>
    <w:rsid w:val="00143D65"/>
    <w:rsid w:val="00147716"/>
    <w:rsid w:val="00155A06"/>
    <w:rsid w:val="001564CF"/>
    <w:rsid w:val="00162C40"/>
    <w:rsid w:val="00163A71"/>
    <w:rsid w:val="00174D44"/>
    <w:rsid w:val="00174D90"/>
    <w:rsid w:val="00176150"/>
    <w:rsid w:val="00177BA8"/>
    <w:rsid w:val="001838B9"/>
    <w:rsid w:val="001909BD"/>
    <w:rsid w:val="00190F35"/>
    <w:rsid w:val="00194206"/>
    <w:rsid w:val="0019596C"/>
    <w:rsid w:val="0019622C"/>
    <w:rsid w:val="00197B2C"/>
    <w:rsid w:val="001A0397"/>
    <w:rsid w:val="001A1938"/>
    <w:rsid w:val="001A3667"/>
    <w:rsid w:val="001B60A2"/>
    <w:rsid w:val="001B74BD"/>
    <w:rsid w:val="001C1CD8"/>
    <w:rsid w:val="001C210D"/>
    <w:rsid w:val="001C3967"/>
    <w:rsid w:val="001C3C58"/>
    <w:rsid w:val="001D4C12"/>
    <w:rsid w:val="001D74B9"/>
    <w:rsid w:val="001E36C9"/>
    <w:rsid w:val="001E46C0"/>
    <w:rsid w:val="001E55AA"/>
    <w:rsid w:val="001F0CEF"/>
    <w:rsid w:val="001F1337"/>
    <w:rsid w:val="00207025"/>
    <w:rsid w:val="0021448C"/>
    <w:rsid w:val="002164E6"/>
    <w:rsid w:val="00217F4F"/>
    <w:rsid w:val="00220B8F"/>
    <w:rsid w:val="00222AE7"/>
    <w:rsid w:val="00224FD2"/>
    <w:rsid w:val="002257A3"/>
    <w:rsid w:val="002263CA"/>
    <w:rsid w:val="00232BE2"/>
    <w:rsid w:val="00233E3F"/>
    <w:rsid w:val="00241C2B"/>
    <w:rsid w:val="002453D6"/>
    <w:rsid w:val="00247C9C"/>
    <w:rsid w:val="00253D50"/>
    <w:rsid w:val="002551EA"/>
    <w:rsid w:val="002554C3"/>
    <w:rsid w:val="00261506"/>
    <w:rsid w:val="00263CBC"/>
    <w:rsid w:val="00265CCB"/>
    <w:rsid w:val="0026681E"/>
    <w:rsid w:val="0027022A"/>
    <w:rsid w:val="002719B9"/>
    <w:rsid w:val="00272384"/>
    <w:rsid w:val="00273043"/>
    <w:rsid w:val="00273EC7"/>
    <w:rsid w:val="00286600"/>
    <w:rsid w:val="002911DE"/>
    <w:rsid w:val="00292756"/>
    <w:rsid w:val="002B2F18"/>
    <w:rsid w:val="002B3B5C"/>
    <w:rsid w:val="002C3879"/>
    <w:rsid w:val="002C5A80"/>
    <w:rsid w:val="002C6473"/>
    <w:rsid w:val="002D01C9"/>
    <w:rsid w:val="002D4199"/>
    <w:rsid w:val="002D509B"/>
    <w:rsid w:val="002E0650"/>
    <w:rsid w:val="002E0C18"/>
    <w:rsid w:val="002E513B"/>
    <w:rsid w:val="002E6057"/>
    <w:rsid w:val="002E6107"/>
    <w:rsid w:val="002F0535"/>
    <w:rsid w:val="00300275"/>
    <w:rsid w:val="0030086C"/>
    <w:rsid w:val="003025E1"/>
    <w:rsid w:val="00302BB5"/>
    <w:rsid w:val="003037B1"/>
    <w:rsid w:val="00312CB0"/>
    <w:rsid w:val="003145F7"/>
    <w:rsid w:val="00314AA2"/>
    <w:rsid w:val="00317D95"/>
    <w:rsid w:val="00324803"/>
    <w:rsid w:val="00324DD9"/>
    <w:rsid w:val="00326209"/>
    <w:rsid w:val="00331831"/>
    <w:rsid w:val="003364F0"/>
    <w:rsid w:val="0033784C"/>
    <w:rsid w:val="00337E2F"/>
    <w:rsid w:val="00343B59"/>
    <w:rsid w:val="00347138"/>
    <w:rsid w:val="00361E75"/>
    <w:rsid w:val="003713CA"/>
    <w:rsid w:val="0037295F"/>
    <w:rsid w:val="00383E17"/>
    <w:rsid w:val="00384FCC"/>
    <w:rsid w:val="00385616"/>
    <w:rsid w:val="00396F7C"/>
    <w:rsid w:val="00397167"/>
    <w:rsid w:val="003A0455"/>
    <w:rsid w:val="003A28FC"/>
    <w:rsid w:val="003A3A1F"/>
    <w:rsid w:val="003A500C"/>
    <w:rsid w:val="003A64A1"/>
    <w:rsid w:val="003A7923"/>
    <w:rsid w:val="003C1E6B"/>
    <w:rsid w:val="003C20FD"/>
    <w:rsid w:val="003C305A"/>
    <w:rsid w:val="003C3D25"/>
    <w:rsid w:val="003C6323"/>
    <w:rsid w:val="003D5115"/>
    <w:rsid w:val="003D7C9F"/>
    <w:rsid w:val="003E03B3"/>
    <w:rsid w:val="003E5E4B"/>
    <w:rsid w:val="003E7E1E"/>
    <w:rsid w:val="003F153C"/>
    <w:rsid w:val="003F3681"/>
    <w:rsid w:val="004021C6"/>
    <w:rsid w:val="004060F6"/>
    <w:rsid w:val="00412631"/>
    <w:rsid w:val="00416911"/>
    <w:rsid w:val="00423C32"/>
    <w:rsid w:val="00424B73"/>
    <w:rsid w:val="00430144"/>
    <w:rsid w:val="004326AA"/>
    <w:rsid w:val="00447D53"/>
    <w:rsid w:val="00457BB6"/>
    <w:rsid w:val="00460085"/>
    <w:rsid w:val="004601B2"/>
    <w:rsid w:val="00462B57"/>
    <w:rsid w:val="004633E5"/>
    <w:rsid w:val="004635A3"/>
    <w:rsid w:val="004639D9"/>
    <w:rsid w:val="00470C3C"/>
    <w:rsid w:val="004714DE"/>
    <w:rsid w:val="00471525"/>
    <w:rsid w:val="004719C3"/>
    <w:rsid w:val="0047340C"/>
    <w:rsid w:val="0047585D"/>
    <w:rsid w:val="004770A2"/>
    <w:rsid w:val="00490120"/>
    <w:rsid w:val="0049014D"/>
    <w:rsid w:val="00492A8C"/>
    <w:rsid w:val="004A3805"/>
    <w:rsid w:val="004A3A5C"/>
    <w:rsid w:val="004A459D"/>
    <w:rsid w:val="004B4AFD"/>
    <w:rsid w:val="004B6C24"/>
    <w:rsid w:val="004B6F55"/>
    <w:rsid w:val="004C0FB3"/>
    <w:rsid w:val="004C3534"/>
    <w:rsid w:val="004C6320"/>
    <w:rsid w:val="004D13DA"/>
    <w:rsid w:val="004D2313"/>
    <w:rsid w:val="004D524C"/>
    <w:rsid w:val="004D69C0"/>
    <w:rsid w:val="004E50FA"/>
    <w:rsid w:val="004E66AB"/>
    <w:rsid w:val="004E74FC"/>
    <w:rsid w:val="004F292F"/>
    <w:rsid w:val="00503065"/>
    <w:rsid w:val="005032AE"/>
    <w:rsid w:val="00503BD3"/>
    <w:rsid w:val="005059F4"/>
    <w:rsid w:val="00512092"/>
    <w:rsid w:val="00523553"/>
    <w:rsid w:val="00526700"/>
    <w:rsid w:val="00530106"/>
    <w:rsid w:val="0053036C"/>
    <w:rsid w:val="00532DEA"/>
    <w:rsid w:val="00534191"/>
    <w:rsid w:val="005355DF"/>
    <w:rsid w:val="00542C45"/>
    <w:rsid w:val="00544117"/>
    <w:rsid w:val="0054413D"/>
    <w:rsid w:val="00552679"/>
    <w:rsid w:val="00552AF6"/>
    <w:rsid w:val="00553C33"/>
    <w:rsid w:val="00560217"/>
    <w:rsid w:val="00563A40"/>
    <w:rsid w:val="0056674A"/>
    <w:rsid w:val="00567D7E"/>
    <w:rsid w:val="00567F25"/>
    <w:rsid w:val="00570FEA"/>
    <w:rsid w:val="005714EF"/>
    <w:rsid w:val="00572090"/>
    <w:rsid w:val="00581BCB"/>
    <w:rsid w:val="005830E7"/>
    <w:rsid w:val="0058639F"/>
    <w:rsid w:val="00587138"/>
    <w:rsid w:val="00592996"/>
    <w:rsid w:val="00597FCE"/>
    <w:rsid w:val="005A3358"/>
    <w:rsid w:val="005A4933"/>
    <w:rsid w:val="005A54D6"/>
    <w:rsid w:val="005A6B95"/>
    <w:rsid w:val="005B2023"/>
    <w:rsid w:val="005C363A"/>
    <w:rsid w:val="005C6A19"/>
    <w:rsid w:val="005D4CDF"/>
    <w:rsid w:val="005D6403"/>
    <w:rsid w:val="005D7FC7"/>
    <w:rsid w:val="005E3352"/>
    <w:rsid w:val="005E5DAA"/>
    <w:rsid w:val="005E5FF8"/>
    <w:rsid w:val="005F161A"/>
    <w:rsid w:val="005F2EF4"/>
    <w:rsid w:val="005F598C"/>
    <w:rsid w:val="005F778A"/>
    <w:rsid w:val="005F77BB"/>
    <w:rsid w:val="00602BBD"/>
    <w:rsid w:val="00604CA0"/>
    <w:rsid w:val="006053B4"/>
    <w:rsid w:val="0061050F"/>
    <w:rsid w:val="006115D4"/>
    <w:rsid w:val="00620393"/>
    <w:rsid w:val="00621263"/>
    <w:rsid w:val="006237EB"/>
    <w:rsid w:val="00631DE4"/>
    <w:rsid w:val="006335D0"/>
    <w:rsid w:val="00635438"/>
    <w:rsid w:val="00637432"/>
    <w:rsid w:val="0064267A"/>
    <w:rsid w:val="0065181D"/>
    <w:rsid w:val="00652806"/>
    <w:rsid w:val="006553C2"/>
    <w:rsid w:val="00660C80"/>
    <w:rsid w:val="006647F6"/>
    <w:rsid w:val="006669D9"/>
    <w:rsid w:val="006678C2"/>
    <w:rsid w:val="00667EEF"/>
    <w:rsid w:val="006713E7"/>
    <w:rsid w:val="00673059"/>
    <w:rsid w:val="006735C3"/>
    <w:rsid w:val="00673930"/>
    <w:rsid w:val="00673DE7"/>
    <w:rsid w:val="006751FD"/>
    <w:rsid w:val="006768FD"/>
    <w:rsid w:val="006800B8"/>
    <w:rsid w:val="006825AF"/>
    <w:rsid w:val="00683789"/>
    <w:rsid w:val="0068650D"/>
    <w:rsid w:val="0069674D"/>
    <w:rsid w:val="006A1B7A"/>
    <w:rsid w:val="006A2728"/>
    <w:rsid w:val="006B0EAA"/>
    <w:rsid w:val="006B382E"/>
    <w:rsid w:val="006C15E7"/>
    <w:rsid w:val="006C2C9E"/>
    <w:rsid w:val="006C5305"/>
    <w:rsid w:val="006C6382"/>
    <w:rsid w:val="006D1C64"/>
    <w:rsid w:val="006D25A9"/>
    <w:rsid w:val="006D4C63"/>
    <w:rsid w:val="006D50A1"/>
    <w:rsid w:val="006D5C37"/>
    <w:rsid w:val="006D6C71"/>
    <w:rsid w:val="006E20C7"/>
    <w:rsid w:val="006E4E12"/>
    <w:rsid w:val="006E66AA"/>
    <w:rsid w:val="006F56EA"/>
    <w:rsid w:val="006F57D1"/>
    <w:rsid w:val="006F5A52"/>
    <w:rsid w:val="0070008B"/>
    <w:rsid w:val="00703682"/>
    <w:rsid w:val="00703A4B"/>
    <w:rsid w:val="00703ADF"/>
    <w:rsid w:val="00703F33"/>
    <w:rsid w:val="007049F6"/>
    <w:rsid w:val="00710AD6"/>
    <w:rsid w:val="00732F1F"/>
    <w:rsid w:val="00736686"/>
    <w:rsid w:val="00745FBB"/>
    <w:rsid w:val="00751D66"/>
    <w:rsid w:val="00754094"/>
    <w:rsid w:val="00754496"/>
    <w:rsid w:val="00761C7F"/>
    <w:rsid w:val="00763C17"/>
    <w:rsid w:val="007651D2"/>
    <w:rsid w:val="00766AB0"/>
    <w:rsid w:val="00766C83"/>
    <w:rsid w:val="00767552"/>
    <w:rsid w:val="007758D0"/>
    <w:rsid w:val="00776114"/>
    <w:rsid w:val="00777349"/>
    <w:rsid w:val="00785F6C"/>
    <w:rsid w:val="00793C0A"/>
    <w:rsid w:val="00796283"/>
    <w:rsid w:val="00797B5E"/>
    <w:rsid w:val="007A4A75"/>
    <w:rsid w:val="007A5239"/>
    <w:rsid w:val="007B1146"/>
    <w:rsid w:val="007B263C"/>
    <w:rsid w:val="007B3665"/>
    <w:rsid w:val="007B696B"/>
    <w:rsid w:val="007B77A9"/>
    <w:rsid w:val="007C1655"/>
    <w:rsid w:val="007C4746"/>
    <w:rsid w:val="007C58C3"/>
    <w:rsid w:val="007C5D17"/>
    <w:rsid w:val="007C6DA4"/>
    <w:rsid w:val="007D76A0"/>
    <w:rsid w:val="007E0CC9"/>
    <w:rsid w:val="007E295A"/>
    <w:rsid w:val="007E3E21"/>
    <w:rsid w:val="007E5C79"/>
    <w:rsid w:val="007E5D2D"/>
    <w:rsid w:val="007E6F94"/>
    <w:rsid w:val="007F13F0"/>
    <w:rsid w:val="007F4434"/>
    <w:rsid w:val="007F52A2"/>
    <w:rsid w:val="007F5B01"/>
    <w:rsid w:val="007F64E9"/>
    <w:rsid w:val="00804E4C"/>
    <w:rsid w:val="008059FF"/>
    <w:rsid w:val="00805AE6"/>
    <w:rsid w:val="0081007E"/>
    <w:rsid w:val="00811C74"/>
    <w:rsid w:val="00811E6E"/>
    <w:rsid w:val="008120DB"/>
    <w:rsid w:val="008165E7"/>
    <w:rsid w:val="00817ED9"/>
    <w:rsid w:val="00820D38"/>
    <w:rsid w:val="008219AE"/>
    <w:rsid w:val="00823DCA"/>
    <w:rsid w:val="008262E2"/>
    <w:rsid w:val="00827E0E"/>
    <w:rsid w:val="0083101B"/>
    <w:rsid w:val="0083453F"/>
    <w:rsid w:val="00835D7D"/>
    <w:rsid w:val="008366C3"/>
    <w:rsid w:val="00836DDD"/>
    <w:rsid w:val="00837EB0"/>
    <w:rsid w:val="00840059"/>
    <w:rsid w:val="008538D9"/>
    <w:rsid w:val="00856C46"/>
    <w:rsid w:val="00861F86"/>
    <w:rsid w:val="00866960"/>
    <w:rsid w:val="008705A2"/>
    <w:rsid w:val="00871611"/>
    <w:rsid w:val="00872B2B"/>
    <w:rsid w:val="00876801"/>
    <w:rsid w:val="00877381"/>
    <w:rsid w:val="0088363F"/>
    <w:rsid w:val="008852A8"/>
    <w:rsid w:val="00887A6E"/>
    <w:rsid w:val="008901FA"/>
    <w:rsid w:val="008918A7"/>
    <w:rsid w:val="00894E52"/>
    <w:rsid w:val="00895CB0"/>
    <w:rsid w:val="008967F7"/>
    <w:rsid w:val="008A2618"/>
    <w:rsid w:val="008A2BBA"/>
    <w:rsid w:val="008A2F0E"/>
    <w:rsid w:val="008A4154"/>
    <w:rsid w:val="008A567E"/>
    <w:rsid w:val="008B66D7"/>
    <w:rsid w:val="008C0161"/>
    <w:rsid w:val="008C20E1"/>
    <w:rsid w:val="008C31E8"/>
    <w:rsid w:val="008C557C"/>
    <w:rsid w:val="008D0494"/>
    <w:rsid w:val="008D125F"/>
    <w:rsid w:val="008D2A58"/>
    <w:rsid w:val="008D2D15"/>
    <w:rsid w:val="008D4E62"/>
    <w:rsid w:val="008E5421"/>
    <w:rsid w:val="008F109C"/>
    <w:rsid w:val="008F2398"/>
    <w:rsid w:val="008F251D"/>
    <w:rsid w:val="008F526D"/>
    <w:rsid w:val="008F7DB7"/>
    <w:rsid w:val="00910711"/>
    <w:rsid w:val="009114DA"/>
    <w:rsid w:val="009121CE"/>
    <w:rsid w:val="00912245"/>
    <w:rsid w:val="009149F8"/>
    <w:rsid w:val="00915DA5"/>
    <w:rsid w:val="00916996"/>
    <w:rsid w:val="00917107"/>
    <w:rsid w:val="009201A0"/>
    <w:rsid w:val="0092630C"/>
    <w:rsid w:val="009264AF"/>
    <w:rsid w:val="00926722"/>
    <w:rsid w:val="0092692B"/>
    <w:rsid w:val="009278B6"/>
    <w:rsid w:val="00937DE2"/>
    <w:rsid w:val="00940052"/>
    <w:rsid w:val="00940AD7"/>
    <w:rsid w:val="00940FE2"/>
    <w:rsid w:val="00946817"/>
    <w:rsid w:val="009524FE"/>
    <w:rsid w:val="0095781E"/>
    <w:rsid w:val="00962E12"/>
    <w:rsid w:val="009653FE"/>
    <w:rsid w:val="009705ED"/>
    <w:rsid w:val="00974A00"/>
    <w:rsid w:val="009830FA"/>
    <w:rsid w:val="009855F2"/>
    <w:rsid w:val="00986808"/>
    <w:rsid w:val="009A1A58"/>
    <w:rsid w:val="009A2F26"/>
    <w:rsid w:val="009A36AA"/>
    <w:rsid w:val="009A3EBA"/>
    <w:rsid w:val="009A4447"/>
    <w:rsid w:val="009A6A8E"/>
    <w:rsid w:val="009C00E5"/>
    <w:rsid w:val="009C29CB"/>
    <w:rsid w:val="009C4B8F"/>
    <w:rsid w:val="009C5C56"/>
    <w:rsid w:val="009D1CD2"/>
    <w:rsid w:val="009D4A9B"/>
    <w:rsid w:val="009D759B"/>
    <w:rsid w:val="009E1D8C"/>
    <w:rsid w:val="009E1FC4"/>
    <w:rsid w:val="009E71FA"/>
    <w:rsid w:val="009F293E"/>
    <w:rsid w:val="009F2ABB"/>
    <w:rsid w:val="009F539E"/>
    <w:rsid w:val="00A027C8"/>
    <w:rsid w:val="00A02FF7"/>
    <w:rsid w:val="00A03D3C"/>
    <w:rsid w:val="00A0464A"/>
    <w:rsid w:val="00A0541A"/>
    <w:rsid w:val="00A05979"/>
    <w:rsid w:val="00A066A7"/>
    <w:rsid w:val="00A07B5F"/>
    <w:rsid w:val="00A12459"/>
    <w:rsid w:val="00A12FD7"/>
    <w:rsid w:val="00A13836"/>
    <w:rsid w:val="00A224FE"/>
    <w:rsid w:val="00A3065F"/>
    <w:rsid w:val="00A41E3B"/>
    <w:rsid w:val="00A42A26"/>
    <w:rsid w:val="00A46A73"/>
    <w:rsid w:val="00A5439B"/>
    <w:rsid w:val="00A54F9B"/>
    <w:rsid w:val="00A57B15"/>
    <w:rsid w:val="00A618D8"/>
    <w:rsid w:val="00A62ADF"/>
    <w:rsid w:val="00A635BB"/>
    <w:rsid w:val="00A7123C"/>
    <w:rsid w:val="00A76BA2"/>
    <w:rsid w:val="00A804E6"/>
    <w:rsid w:val="00A80987"/>
    <w:rsid w:val="00A86796"/>
    <w:rsid w:val="00AA03B7"/>
    <w:rsid w:val="00AA10A8"/>
    <w:rsid w:val="00AA39C9"/>
    <w:rsid w:val="00AA64C4"/>
    <w:rsid w:val="00AB0A82"/>
    <w:rsid w:val="00AB263B"/>
    <w:rsid w:val="00AB3587"/>
    <w:rsid w:val="00AB3C6C"/>
    <w:rsid w:val="00AB7234"/>
    <w:rsid w:val="00AC6811"/>
    <w:rsid w:val="00AC7A56"/>
    <w:rsid w:val="00AD324C"/>
    <w:rsid w:val="00AD492D"/>
    <w:rsid w:val="00AE3CE3"/>
    <w:rsid w:val="00AE5358"/>
    <w:rsid w:val="00AE5FE5"/>
    <w:rsid w:val="00AF063A"/>
    <w:rsid w:val="00B009E2"/>
    <w:rsid w:val="00B0141F"/>
    <w:rsid w:val="00B05F24"/>
    <w:rsid w:val="00B10B15"/>
    <w:rsid w:val="00B1312F"/>
    <w:rsid w:val="00B13164"/>
    <w:rsid w:val="00B16A4C"/>
    <w:rsid w:val="00B20A4A"/>
    <w:rsid w:val="00B21007"/>
    <w:rsid w:val="00B24A2E"/>
    <w:rsid w:val="00B26A9F"/>
    <w:rsid w:val="00B3144B"/>
    <w:rsid w:val="00B34846"/>
    <w:rsid w:val="00B4580C"/>
    <w:rsid w:val="00B50EC3"/>
    <w:rsid w:val="00B51DEF"/>
    <w:rsid w:val="00B65813"/>
    <w:rsid w:val="00B67090"/>
    <w:rsid w:val="00B67F1A"/>
    <w:rsid w:val="00B757DC"/>
    <w:rsid w:val="00B8156C"/>
    <w:rsid w:val="00B83010"/>
    <w:rsid w:val="00B83BBF"/>
    <w:rsid w:val="00B84799"/>
    <w:rsid w:val="00B90940"/>
    <w:rsid w:val="00B91261"/>
    <w:rsid w:val="00BA266A"/>
    <w:rsid w:val="00BA4F7A"/>
    <w:rsid w:val="00BA5987"/>
    <w:rsid w:val="00BA767C"/>
    <w:rsid w:val="00BB1C4A"/>
    <w:rsid w:val="00BB7576"/>
    <w:rsid w:val="00BC0386"/>
    <w:rsid w:val="00BD296B"/>
    <w:rsid w:val="00BD4A7B"/>
    <w:rsid w:val="00BD4C9E"/>
    <w:rsid w:val="00BE2E1C"/>
    <w:rsid w:val="00BE33C0"/>
    <w:rsid w:val="00BF0B4A"/>
    <w:rsid w:val="00BF1EE0"/>
    <w:rsid w:val="00BF6BD8"/>
    <w:rsid w:val="00C00E21"/>
    <w:rsid w:val="00C074FB"/>
    <w:rsid w:val="00C102F2"/>
    <w:rsid w:val="00C1082B"/>
    <w:rsid w:val="00C13A1D"/>
    <w:rsid w:val="00C15262"/>
    <w:rsid w:val="00C1603C"/>
    <w:rsid w:val="00C22C69"/>
    <w:rsid w:val="00C25A2A"/>
    <w:rsid w:val="00C34106"/>
    <w:rsid w:val="00C34903"/>
    <w:rsid w:val="00C36D3C"/>
    <w:rsid w:val="00C537D3"/>
    <w:rsid w:val="00C54E88"/>
    <w:rsid w:val="00C55BAF"/>
    <w:rsid w:val="00C5781A"/>
    <w:rsid w:val="00C6205C"/>
    <w:rsid w:val="00C65C3E"/>
    <w:rsid w:val="00C66B0B"/>
    <w:rsid w:val="00C75A20"/>
    <w:rsid w:val="00C7615B"/>
    <w:rsid w:val="00C80DF5"/>
    <w:rsid w:val="00C81D40"/>
    <w:rsid w:val="00C82137"/>
    <w:rsid w:val="00C84AC1"/>
    <w:rsid w:val="00C92E37"/>
    <w:rsid w:val="00C96256"/>
    <w:rsid w:val="00CA5979"/>
    <w:rsid w:val="00CC0155"/>
    <w:rsid w:val="00CC1A2F"/>
    <w:rsid w:val="00CC753A"/>
    <w:rsid w:val="00CD057C"/>
    <w:rsid w:val="00CD4EDB"/>
    <w:rsid w:val="00CE11A7"/>
    <w:rsid w:val="00CE3C86"/>
    <w:rsid w:val="00CE4745"/>
    <w:rsid w:val="00CF5C1E"/>
    <w:rsid w:val="00D009BE"/>
    <w:rsid w:val="00D054D0"/>
    <w:rsid w:val="00D10610"/>
    <w:rsid w:val="00D1093F"/>
    <w:rsid w:val="00D13F4F"/>
    <w:rsid w:val="00D16ADA"/>
    <w:rsid w:val="00D16FFE"/>
    <w:rsid w:val="00D20227"/>
    <w:rsid w:val="00D22144"/>
    <w:rsid w:val="00D22EF3"/>
    <w:rsid w:val="00D31972"/>
    <w:rsid w:val="00D31F42"/>
    <w:rsid w:val="00D32CB3"/>
    <w:rsid w:val="00D352FB"/>
    <w:rsid w:val="00D35F65"/>
    <w:rsid w:val="00D47D6C"/>
    <w:rsid w:val="00D5254E"/>
    <w:rsid w:val="00D52CFE"/>
    <w:rsid w:val="00D531EC"/>
    <w:rsid w:val="00D5511E"/>
    <w:rsid w:val="00D57561"/>
    <w:rsid w:val="00D60EF4"/>
    <w:rsid w:val="00D61FC5"/>
    <w:rsid w:val="00D654EA"/>
    <w:rsid w:val="00D66346"/>
    <w:rsid w:val="00D82CC7"/>
    <w:rsid w:val="00D86429"/>
    <w:rsid w:val="00D9448A"/>
    <w:rsid w:val="00D9678E"/>
    <w:rsid w:val="00DA56A8"/>
    <w:rsid w:val="00DB3F9B"/>
    <w:rsid w:val="00DC0AAF"/>
    <w:rsid w:val="00DC32B5"/>
    <w:rsid w:val="00DC7682"/>
    <w:rsid w:val="00DD4348"/>
    <w:rsid w:val="00DD4BC9"/>
    <w:rsid w:val="00DD4DDD"/>
    <w:rsid w:val="00DE4516"/>
    <w:rsid w:val="00DE4FD7"/>
    <w:rsid w:val="00DF0DD5"/>
    <w:rsid w:val="00DF5A96"/>
    <w:rsid w:val="00DF5EE2"/>
    <w:rsid w:val="00E02F45"/>
    <w:rsid w:val="00E0387A"/>
    <w:rsid w:val="00E04171"/>
    <w:rsid w:val="00E06881"/>
    <w:rsid w:val="00E13AF2"/>
    <w:rsid w:val="00E142C4"/>
    <w:rsid w:val="00E16089"/>
    <w:rsid w:val="00E20746"/>
    <w:rsid w:val="00E243ED"/>
    <w:rsid w:val="00E273FB"/>
    <w:rsid w:val="00E276CC"/>
    <w:rsid w:val="00E34E66"/>
    <w:rsid w:val="00E4023A"/>
    <w:rsid w:val="00E45D8C"/>
    <w:rsid w:val="00E461DE"/>
    <w:rsid w:val="00E54AD4"/>
    <w:rsid w:val="00E5567B"/>
    <w:rsid w:val="00E556E1"/>
    <w:rsid w:val="00E62E3B"/>
    <w:rsid w:val="00E63531"/>
    <w:rsid w:val="00E63CC0"/>
    <w:rsid w:val="00E641B5"/>
    <w:rsid w:val="00E72369"/>
    <w:rsid w:val="00E724CF"/>
    <w:rsid w:val="00E77857"/>
    <w:rsid w:val="00E77EEB"/>
    <w:rsid w:val="00E83313"/>
    <w:rsid w:val="00E840E9"/>
    <w:rsid w:val="00E864C7"/>
    <w:rsid w:val="00E91A57"/>
    <w:rsid w:val="00E91ECC"/>
    <w:rsid w:val="00E94BDC"/>
    <w:rsid w:val="00EA26BA"/>
    <w:rsid w:val="00EA2F8E"/>
    <w:rsid w:val="00EA30D8"/>
    <w:rsid w:val="00EA7385"/>
    <w:rsid w:val="00EB3158"/>
    <w:rsid w:val="00EB7222"/>
    <w:rsid w:val="00EC20B4"/>
    <w:rsid w:val="00EC4289"/>
    <w:rsid w:val="00EC5876"/>
    <w:rsid w:val="00EC6433"/>
    <w:rsid w:val="00EC69F7"/>
    <w:rsid w:val="00ED0E3C"/>
    <w:rsid w:val="00ED4DA4"/>
    <w:rsid w:val="00ED5E9A"/>
    <w:rsid w:val="00ED717E"/>
    <w:rsid w:val="00ED7907"/>
    <w:rsid w:val="00EE15C9"/>
    <w:rsid w:val="00EE22DC"/>
    <w:rsid w:val="00EE2695"/>
    <w:rsid w:val="00EE2A1C"/>
    <w:rsid w:val="00EE4B3E"/>
    <w:rsid w:val="00EE7263"/>
    <w:rsid w:val="00EF080A"/>
    <w:rsid w:val="00EF1482"/>
    <w:rsid w:val="00EF199C"/>
    <w:rsid w:val="00EF214B"/>
    <w:rsid w:val="00EF4BF2"/>
    <w:rsid w:val="00EF619D"/>
    <w:rsid w:val="00F00A7E"/>
    <w:rsid w:val="00F13D50"/>
    <w:rsid w:val="00F15C51"/>
    <w:rsid w:val="00F16A4D"/>
    <w:rsid w:val="00F2080F"/>
    <w:rsid w:val="00F21065"/>
    <w:rsid w:val="00F21613"/>
    <w:rsid w:val="00F2370C"/>
    <w:rsid w:val="00F32451"/>
    <w:rsid w:val="00F35DF6"/>
    <w:rsid w:val="00F3659A"/>
    <w:rsid w:val="00F45975"/>
    <w:rsid w:val="00F5072E"/>
    <w:rsid w:val="00F53E3E"/>
    <w:rsid w:val="00F603DC"/>
    <w:rsid w:val="00F60F28"/>
    <w:rsid w:val="00F64FF2"/>
    <w:rsid w:val="00F72A29"/>
    <w:rsid w:val="00F75884"/>
    <w:rsid w:val="00F7777C"/>
    <w:rsid w:val="00F87036"/>
    <w:rsid w:val="00F96E72"/>
    <w:rsid w:val="00FA51F4"/>
    <w:rsid w:val="00FA5A0F"/>
    <w:rsid w:val="00FB1295"/>
    <w:rsid w:val="00FB1384"/>
    <w:rsid w:val="00FB1CC4"/>
    <w:rsid w:val="00FB45B1"/>
    <w:rsid w:val="00FB485E"/>
    <w:rsid w:val="00FB593B"/>
    <w:rsid w:val="00FB6A37"/>
    <w:rsid w:val="00FB6C65"/>
    <w:rsid w:val="00FB6D84"/>
    <w:rsid w:val="00FB7EFC"/>
    <w:rsid w:val="00FC3A11"/>
    <w:rsid w:val="00FC7B2B"/>
    <w:rsid w:val="00FD3118"/>
    <w:rsid w:val="00FD4327"/>
    <w:rsid w:val="00FD7C48"/>
    <w:rsid w:val="00FE0CA6"/>
    <w:rsid w:val="00FE2CC2"/>
    <w:rsid w:val="00FE758B"/>
    <w:rsid w:val="00FE7E9E"/>
    <w:rsid w:val="00FF280F"/>
    <w:rsid w:val="01C761D7"/>
    <w:rsid w:val="03157416"/>
    <w:rsid w:val="048C5A1D"/>
    <w:rsid w:val="0A821835"/>
    <w:rsid w:val="1A27385F"/>
    <w:rsid w:val="1E564AE7"/>
    <w:rsid w:val="23887A65"/>
    <w:rsid w:val="23A53DF4"/>
    <w:rsid w:val="28B906C0"/>
    <w:rsid w:val="3AC802EF"/>
    <w:rsid w:val="409749EB"/>
    <w:rsid w:val="4162149D"/>
    <w:rsid w:val="46E1611B"/>
    <w:rsid w:val="58A81A34"/>
    <w:rsid w:val="5A1A070F"/>
    <w:rsid w:val="63BE16D8"/>
    <w:rsid w:val="68D0643D"/>
    <w:rsid w:val="73C03C7E"/>
    <w:rsid w:val="772941CC"/>
    <w:rsid w:val="7B061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D742F"/>
  <w15:docId w15:val="{9571B7E6-E0B0-4487-B4B4-1E44C72D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Calibri" w:eastAsia="宋体" w:hAnsi="Calibri" w:cs="Times New Roman"/>
      <w:kern w:val="1"/>
      <w:sz w:val="21"/>
      <w:szCs w:val="22"/>
    </w:rPr>
  </w:style>
  <w:style w:type="paragraph" w:styleId="1">
    <w:name w:val="heading 1"/>
    <w:basedOn w:val="a"/>
    <w:next w:val="a"/>
    <w:link w:val="10"/>
    <w:uiPriority w:val="9"/>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rPr>
      <w:rFonts w:ascii="Calibri" w:eastAsia="宋体" w:hAnsi="Calibri" w:cs="Times New Roman"/>
      <w:kern w:val="1"/>
    </w:rPr>
  </w:style>
  <w:style w:type="character" w:customStyle="1" w:styleId="ac">
    <w:name w:val="批注主题 字符"/>
    <w:basedOn w:val="a4"/>
    <w:link w:val="ab"/>
    <w:uiPriority w:val="99"/>
    <w:semiHidden/>
    <w:qFormat/>
    <w:rPr>
      <w:rFonts w:ascii="Calibri" w:eastAsia="宋体" w:hAnsi="Calibri" w:cs="Times New Roman"/>
      <w:b/>
      <w:bCs/>
      <w:kern w:val="1"/>
    </w:rPr>
  </w:style>
  <w:style w:type="character" w:customStyle="1" w:styleId="a6">
    <w:name w:val="批注框文本 字符"/>
    <w:basedOn w:val="a0"/>
    <w:link w:val="a5"/>
    <w:uiPriority w:val="99"/>
    <w:semiHidden/>
    <w:qFormat/>
    <w:rPr>
      <w:rFonts w:ascii="Calibri" w:eastAsia="宋体" w:hAnsi="Calibri" w:cs="Times New Roman"/>
      <w:kern w:val="1"/>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a">
    <w:name w:val="页眉 字符"/>
    <w:basedOn w:val="a0"/>
    <w:link w:val="a9"/>
    <w:uiPriority w:val="99"/>
    <w:qFormat/>
    <w:rPr>
      <w:rFonts w:ascii="Calibri" w:eastAsia="宋体" w:hAnsi="Calibri" w:cs="Times New Roman"/>
      <w:kern w:val="1"/>
      <w:sz w:val="18"/>
      <w:szCs w:val="18"/>
    </w:rPr>
  </w:style>
  <w:style w:type="character" w:customStyle="1" w:styleId="a8">
    <w:name w:val="页脚 字符"/>
    <w:basedOn w:val="a0"/>
    <w:link w:val="a7"/>
    <w:uiPriority w:val="99"/>
    <w:qFormat/>
    <w:rPr>
      <w:rFonts w:ascii="Calibri" w:eastAsia="宋体" w:hAnsi="Calibri" w:cs="Times New Roman"/>
      <w:kern w:val="1"/>
      <w:sz w:val="18"/>
      <w:szCs w:val="18"/>
    </w:rPr>
  </w:style>
  <w:style w:type="paragraph" w:styleId="af">
    <w:name w:val="No Spacing"/>
    <w:uiPriority w:v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Calibri" w:eastAsia="宋体" w:hAnsi="Calibri" w:cs="Times New Roman"/>
      <w:kern w:val="1"/>
      <w:sz w:val="21"/>
      <w:szCs w:val="22"/>
    </w:rPr>
  </w:style>
  <w:style w:type="character" w:customStyle="1" w:styleId="apple-converted-space">
    <w:name w:val="apple-converted-space"/>
    <w:basedOn w:val="a0"/>
    <w:qFormat/>
  </w:style>
  <w:style w:type="paragraph" w:styleId="af0">
    <w:name w:val="List Paragraph"/>
    <w:basedOn w:val="a"/>
    <w:uiPriority w:val="34"/>
    <w:qFormat/>
    <w:pPr>
      <w:ind w:firstLineChars="200" w:firstLine="420"/>
    </w:pPr>
  </w:style>
  <w:style w:type="table" w:customStyle="1" w:styleId="11">
    <w:name w:val="网格型1"/>
    <w:basedOn w:val="a1"/>
    <w:uiPriority w:val="59"/>
    <w:qFormat/>
    <w:rPr>
      <w:rFonts w:ascii="Arial" w:eastAsia="楷体_GB2312" w:hAnsi="Arial" w:cs="仿宋_GB2312"/>
      <w:color w:val="000000"/>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qFormat/>
    <w:rPr>
      <w:rFonts w:ascii="Arial" w:eastAsia="楷体_GB2312" w:hAnsi="Arial" w:cs="仿宋_GB2312"/>
      <w:color w:val="000000"/>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unhideWhenUsed/>
    <w:rsid w:val="001068A1"/>
    <w:rPr>
      <w:rFonts w:ascii="Calibri" w:eastAsia="宋体" w:hAnsi="Calibri" w:cs="Times New Roman"/>
      <w:kern w:val="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8542F-664B-4F3C-BFF5-58E653F7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518</Words>
  <Characters>597</Characters>
  <Application>Microsoft Office Word</Application>
  <DocSecurity>0</DocSecurity>
  <Lines>28</Lines>
  <Paragraphs>31</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infaith Mancy</dc:creator>
  <cp:lastModifiedBy>Xiaoqian Dong</cp:lastModifiedBy>
  <cp:revision>22</cp:revision>
  <cp:lastPrinted>2016-12-28T08:39:00Z</cp:lastPrinted>
  <dcterms:created xsi:type="dcterms:W3CDTF">2026-01-26T09:44:00Z</dcterms:created>
  <dcterms:modified xsi:type="dcterms:W3CDTF">2026-01-27T06:21:00Z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F709D5F052224B1F813E926B89A92FCF_13</vt:lpwstr>
  </property>
  <property fmtid="{D5CDD505-2E9C-101B-9397-08002B2CF9AE}" pid="4" name="KSOTemplateDocerSaveRecord">
    <vt:lpwstr>eyJoZGlkIjoiNTU4MGVkYmY3MGY1MDFjZGE2Mjc2ZTUyMDY5ZDJiNTkiLCJ1c2VySWQiOiI0MjMzMDA0MTkifQ==</vt:lpwstr>
  </property>
</Properties>
</file>