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C06F4">
      <w:pPr>
        <w:jc w:val="left"/>
        <w:rPr>
          <w:rFonts w:hint="default" w:asciiTheme="minorEastAsia" w:hAnsiTheme="minorEastAsia" w:eastAsiaTheme="minorEastAsia"/>
          <w:sz w:val="24"/>
          <w:szCs w:val="24"/>
          <w:lang w:val="en-US" w:eastAsia="zh-CN"/>
        </w:rPr>
      </w:pPr>
      <w:r>
        <w:rPr>
          <w:rFonts w:asciiTheme="minorEastAsia" w:hAnsiTheme="minorEastAsia" w:eastAsiaTheme="minorEastAsia"/>
          <w:sz w:val="24"/>
          <w:szCs w:val="24"/>
        </w:rPr>
        <w:t>证券代码：603858</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证券简称：</w:t>
      </w:r>
      <w:r>
        <w:rPr>
          <w:rFonts w:hint="eastAsia" w:asciiTheme="minorEastAsia" w:hAnsiTheme="minorEastAsia" w:eastAsiaTheme="minorEastAsia"/>
          <w:sz w:val="24"/>
          <w:szCs w:val="24"/>
        </w:rPr>
        <w:t>步长</w:t>
      </w:r>
      <w:r>
        <w:rPr>
          <w:rFonts w:asciiTheme="minorEastAsia" w:hAnsiTheme="minorEastAsia" w:eastAsiaTheme="minorEastAsia"/>
          <w:sz w:val="24"/>
          <w:szCs w:val="24"/>
        </w:rPr>
        <w:t>制药</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公告编号：202</w:t>
      </w:r>
      <w:r>
        <w:rPr>
          <w:rFonts w:hint="eastAsia" w:asciiTheme="minorEastAsia" w:hAnsiTheme="minorEastAsia" w:eastAsiaTheme="minorEastAsia"/>
          <w:sz w:val="24"/>
          <w:szCs w:val="24"/>
          <w:lang w:val="en-US" w:eastAsia="zh-CN"/>
        </w:rPr>
        <w:t>6</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010</w:t>
      </w:r>
      <w:bookmarkStart w:id="0" w:name="_GoBack"/>
      <w:bookmarkEnd w:id="0"/>
    </w:p>
    <w:p w14:paraId="0D84D916">
      <w:pPr>
        <w:spacing w:line="360" w:lineRule="auto"/>
        <w:ind w:firstLine="723"/>
        <w:rPr>
          <w:rFonts w:hint="eastAsia" w:asciiTheme="minorEastAsia" w:hAnsiTheme="minorEastAsia" w:eastAsiaTheme="minorEastAsia"/>
          <w:b/>
          <w:color w:val="FF0000"/>
          <w:sz w:val="36"/>
          <w:szCs w:val="36"/>
        </w:rPr>
      </w:pPr>
      <w:r>
        <w:rPr>
          <w:rFonts w:asciiTheme="minorEastAsia" w:hAnsiTheme="minorEastAsia" w:eastAsiaTheme="minorEastAsia"/>
          <w:b/>
          <w:color w:val="FF0000"/>
          <w:sz w:val="36"/>
          <w:szCs w:val="36"/>
        </w:rPr>
        <w:tab/>
      </w:r>
    </w:p>
    <w:p w14:paraId="3C21A049">
      <w:pPr>
        <w:spacing w:before="120" w:beforeLines="50" w:after="120" w:afterLines="50" w:line="300" w:lineRule="auto"/>
        <w:jc w:val="center"/>
        <w:rPr>
          <w:rFonts w:hint="eastAsia" w:ascii="黑体" w:hAnsi="黑体" w:eastAsia="黑体" w:cs="黑体"/>
          <w:b/>
          <w:color w:val="FF0000"/>
          <w:sz w:val="32"/>
          <w:szCs w:val="32"/>
        </w:rPr>
      </w:pPr>
      <w:r>
        <w:rPr>
          <w:rFonts w:hint="eastAsia" w:ascii="黑体" w:hAnsi="黑体" w:eastAsia="黑体" w:cs="黑体"/>
          <w:b/>
          <w:color w:val="FF0000"/>
          <w:sz w:val="32"/>
          <w:szCs w:val="32"/>
        </w:rPr>
        <w:t>山东步长制药股份有限公司</w:t>
      </w:r>
    </w:p>
    <w:p w14:paraId="237A599F">
      <w:pPr>
        <w:spacing w:before="120" w:beforeLines="50" w:after="120" w:afterLines="50" w:line="300" w:lineRule="auto"/>
        <w:jc w:val="center"/>
        <w:rPr>
          <w:rFonts w:hint="eastAsia" w:ascii="黑体" w:hAnsi="黑体" w:eastAsia="黑体" w:cs="黑体"/>
          <w:b/>
          <w:color w:val="FF0000"/>
          <w:sz w:val="32"/>
          <w:szCs w:val="32"/>
        </w:rPr>
      </w:pPr>
      <w:r>
        <w:rPr>
          <w:rFonts w:hint="eastAsia" w:ascii="黑体" w:hAnsi="黑体" w:eastAsia="黑体" w:cs="黑体"/>
          <w:b/>
          <w:color w:val="FF0000"/>
          <w:sz w:val="32"/>
          <w:szCs w:val="32"/>
        </w:rPr>
        <w:t>关于回购事项前十大股东和前十大无限售条件股东</w:t>
      </w:r>
    </w:p>
    <w:p w14:paraId="387AAD24">
      <w:pPr>
        <w:spacing w:before="120" w:beforeLines="50" w:after="120" w:afterLines="50" w:line="300" w:lineRule="auto"/>
        <w:jc w:val="center"/>
        <w:rPr>
          <w:rFonts w:asciiTheme="minorEastAsia" w:hAnsiTheme="minorEastAsia" w:eastAsiaTheme="minorEastAsia"/>
          <w:b/>
          <w:color w:val="FF0000"/>
          <w:sz w:val="36"/>
          <w:szCs w:val="36"/>
        </w:rPr>
      </w:pPr>
      <w:r>
        <w:rPr>
          <w:rFonts w:hint="eastAsia" w:ascii="黑体" w:hAnsi="黑体" w:eastAsia="黑体" w:cs="黑体"/>
          <w:b/>
          <w:color w:val="FF0000"/>
          <w:sz w:val="32"/>
          <w:szCs w:val="32"/>
        </w:rPr>
        <w:t>持股情况的公告</w:t>
      </w:r>
    </w:p>
    <w:p w14:paraId="4F64ADD5">
      <w:pPr>
        <w:pBdr>
          <w:top w:val="single" w:color="000000" w:sz="4" w:space="1"/>
          <w:left w:val="single" w:color="000000" w:sz="4" w:space="4"/>
          <w:bottom w:val="single" w:color="000000" w:sz="4" w:space="9"/>
          <w:right w:val="single" w:color="000000" w:sz="4" w:space="14"/>
        </w:pBdr>
        <w:spacing w:line="520" w:lineRule="exact"/>
        <w:ind w:left="360" w:firstLine="480"/>
        <w:rPr>
          <w:rFonts w:asciiTheme="minorEastAsia" w:hAnsiTheme="minorEastAsia" w:eastAsiaTheme="minorEastAsia"/>
          <w:sz w:val="24"/>
          <w:szCs w:val="24"/>
        </w:rPr>
      </w:pPr>
      <w:r>
        <w:rPr>
          <w:rFonts w:hint="eastAsia"/>
          <w:bCs/>
          <w:sz w:val="24"/>
        </w:rPr>
        <w:t>本公司董事会及全体董事保证本公告内容不存在任何虚假记载、误导性陈述或者重大遗漏，并对其内容的真实性、准确性和完整性承担法律责任。</w:t>
      </w:r>
    </w:p>
    <w:p w14:paraId="1A8819A6">
      <w:pPr>
        <w:pStyle w:val="18"/>
        <w:spacing w:line="360" w:lineRule="auto"/>
        <w:rPr>
          <w:rFonts w:asciiTheme="minorEastAsia" w:hAnsiTheme="minorEastAsia" w:eastAsiaTheme="minorEastAsia"/>
          <w:sz w:val="24"/>
          <w:szCs w:val="24"/>
        </w:rPr>
      </w:pPr>
    </w:p>
    <w:p w14:paraId="1B87A8D0">
      <w:pPr>
        <w:pStyle w:val="18"/>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山东步长制药股份有限公司（以下简称“公司”）于2</w:t>
      </w:r>
      <w:r>
        <w:rPr>
          <w:rFonts w:asciiTheme="minorEastAsia" w:hAnsiTheme="minorEastAsia" w:eastAsiaTheme="minorEastAsia"/>
          <w:sz w:val="24"/>
          <w:szCs w:val="24"/>
        </w:rPr>
        <w:t>02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w:t>
      </w:r>
      <w:r>
        <w:rPr>
          <w:rFonts w:asciiTheme="minorEastAsia" w:hAnsiTheme="minorEastAsia" w:eastAsiaTheme="minorEastAsia"/>
          <w:sz w:val="24"/>
          <w:szCs w:val="24"/>
        </w:rPr>
        <w:t>6</w:t>
      </w:r>
      <w:r>
        <w:rPr>
          <w:rFonts w:hint="eastAsia" w:asciiTheme="minorEastAsia" w:hAnsiTheme="minorEastAsia" w:eastAsiaTheme="minorEastAsia"/>
          <w:sz w:val="24"/>
          <w:szCs w:val="24"/>
        </w:rPr>
        <w:t>日召开了第五届董事会第</w:t>
      </w:r>
      <w:r>
        <w:rPr>
          <w:rFonts w:hint="eastAsia" w:asciiTheme="minorEastAsia" w:hAnsiTheme="minorEastAsia" w:eastAsiaTheme="minorEastAsia"/>
          <w:sz w:val="24"/>
          <w:szCs w:val="24"/>
          <w:lang w:val="en-US" w:eastAsia="zh-CN"/>
        </w:rPr>
        <w:t>四</w:t>
      </w:r>
      <w:r>
        <w:rPr>
          <w:rFonts w:hint="eastAsia" w:asciiTheme="minorEastAsia" w:hAnsiTheme="minorEastAsia" w:eastAsiaTheme="minorEastAsia"/>
          <w:sz w:val="24"/>
          <w:szCs w:val="24"/>
        </w:rPr>
        <w:t>十一次会议，审议通过了《关于以集中竞价交易方式回购股份的方案的议案》，公司拟使用自有资金、金融机构回购专项借款以集中竞价交易方式回购社会公众股份。具体内容详见公司202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年1月</w:t>
      </w:r>
      <w:r>
        <w:rPr>
          <w:rFonts w:hint="eastAsia" w:asciiTheme="minorEastAsia" w:hAnsiTheme="minorEastAsia" w:eastAsiaTheme="minorEastAsia"/>
          <w:sz w:val="24"/>
          <w:szCs w:val="24"/>
          <w:lang w:val="en-US" w:eastAsia="zh-CN"/>
        </w:rPr>
        <w:t>1</w:t>
      </w:r>
      <w:r>
        <w:rPr>
          <w:rFonts w:asciiTheme="minorEastAsia" w:hAnsiTheme="minorEastAsia" w:eastAsiaTheme="minorEastAsia"/>
          <w:sz w:val="24"/>
          <w:szCs w:val="24"/>
        </w:rPr>
        <w:t>7</w:t>
      </w:r>
      <w:r>
        <w:rPr>
          <w:rFonts w:hint="eastAsia" w:asciiTheme="minorEastAsia" w:hAnsiTheme="minorEastAsia" w:eastAsiaTheme="minorEastAsia"/>
          <w:sz w:val="24"/>
          <w:szCs w:val="24"/>
        </w:rPr>
        <w:t>日披露于上海证券交易所网站（www.sse.com.cn）的《关于以集中竞价交易方式回购股份方案暨取得金融机构回购专项贷款承诺函的公告》（公告编号：202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005</w:t>
      </w:r>
      <w:r>
        <w:rPr>
          <w:rFonts w:hint="eastAsia" w:asciiTheme="minorEastAsia" w:hAnsiTheme="minorEastAsia" w:eastAsiaTheme="minorEastAsia"/>
          <w:sz w:val="24"/>
          <w:szCs w:val="24"/>
        </w:rPr>
        <w:t>）</w:t>
      </w:r>
    </w:p>
    <w:p w14:paraId="3E12B1DC">
      <w:pPr>
        <w:pStyle w:val="18"/>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根据《上市公司股份回购规则》《上海证券交易所上市公司自律监管指引第7号——回购股份》等相关规定，现将公司董事会会议决议公告日的前一个交易日（即202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年1月</w:t>
      </w:r>
      <w:r>
        <w:rPr>
          <w:rFonts w:hint="eastAsia" w:asciiTheme="minorEastAsia" w:hAnsiTheme="minorEastAsia" w:eastAsiaTheme="minorEastAsia"/>
          <w:sz w:val="24"/>
          <w:szCs w:val="24"/>
          <w:lang w:val="en-US" w:eastAsia="zh-CN"/>
        </w:rPr>
        <w:t>1</w:t>
      </w:r>
      <w:r>
        <w:rPr>
          <w:rFonts w:asciiTheme="minorEastAsia" w:hAnsiTheme="minorEastAsia" w:eastAsiaTheme="minorEastAsia"/>
          <w:sz w:val="24"/>
          <w:szCs w:val="24"/>
        </w:rPr>
        <w:t>6</w:t>
      </w:r>
      <w:r>
        <w:rPr>
          <w:rFonts w:hint="eastAsia" w:asciiTheme="minorEastAsia" w:hAnsiTheme="minorEastAsia" w:eastAsiaTheme="minorEastAsia"/>
          <w:sz w:val="24"/>
          <w:szCs w:val="24"/>
        </w:rPr>
        <w:t>日）登记在册的前十大股东和前十大无限售条件股东的名称、持股数量和持股比例情况公告如下：</w:t>
      </w:r>
    </w:p>
    <w:p w14:paraId="146F7A75">
      <w:pPr>
        <w:pStyle w:val="18"/>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一、前十大股东持股情况</w:t>
      </w:r>
    </w:p>
    <w:tbl>
      <w:tblPr>
        <w:tblStyle w:val="9"/>
        <w:tblW w:w="921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46"/>
        <w:gridCol w:w="4103"/>
        <w:gridCol w:w="1700"/>
        <w:gridCol w:w="2561"/>
      </w:tblGrid>
      <w:tr w14:paraId="55A3C1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0" w:hRule="atLeast"/>
        </w:trPr>
        <w:tc>
          <w:tcPr>
            <w:tcW w:w="846" w:type="dxa"/>
            <w:vAlign w:val="center"/>
          </w:tcPr>
          <w:p w14:paraId="24B6D6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4103" w:type="dxa"/>
            <w:vAlign w:val="center"/>
          </w:tcPr>
          <w:p w14:paraId="5263AEBC">
            <w:pPr>
              <w:keepNext w:val="0"/>
              <w:keepLines w:val="0"/>
              <w:widowControl/>
              <w:suppressLineNumbers w:val="0"/>
              <w:jc w:val="center"/>
              <w:textAlignment w:val="center"/>
              <w:rPr>
                <w:rFonts w:ascii="宋体" w:hAnsi="宋体"/>
                <w:sz w:val="24"/>
                <w:szCs w:val="24"/>
              </w:rPr>
            </w:pPr>
            <w:r>
              <w:rPr>
                <w:rFonts w:hint="eastAsia" w:ascii="宋体" w:hAnsi="宋体"/>
                <w:sz w:val="24"/>
                <w:szCs w:val="24"/>
              </w:rPr>
              <w:t>股东名称</w:t>
            </w:r>
          </w:p>
        </w:tc>
        <w:tc>
          <w:tcPr>
            <w:tcW w:w="1700" w:type="dxa"/>
            <w:vAlign w:val="center"/>
          </w:tcPr>
          <w:p w14:paraId="3BCF3938">
            <w:pPr>
              <w:keepNext w:val="0"/>
              <w:keepLines w:val="0"/>
              <w:widowControl/>
              <w:suppressLineNumbers w:val="0"/>
              <w:jc w:val="left"/>
              <w:textAlignment w:val="center"/>
              <w:rPr>
                <w:rFonts w:ascii="宋体" w:hAnsi="宋体"/>
                <w:sz w:val="24"/>
                <w:szCs w:val="24"/>
              </w:rPr>
            </w:pPr>
            <w:r>
              <w:rPr>
                <w:rFonts w:hint="eastAsia" w:ascii="宋体" w:hAnsi="宋体"/>
                <w:sz w:val="24"/>
                <w:szCs w:val="24"/>
              </w:rPr>
              <w:t>持股数量（股）</w:t>
            </w:r>
          </w:p>
        </w:tc>
        <w:tc>
          <w:tcPr>
            <w:tcW w:w="2561" w:type="dxa"/>
            <w:vAlign w:val="center"/>
          </w:tcPr>
          <w:p w14:paraId="5B15D726">
            <w:pPr>
              <w:keepNext w:val="0"/>
              <w:keepLines w:val="0"/>
              <w:widowControl/>
              <w:suppressLineNumbers w:val="0"/>
              <w:jc w:val="left"/>
              <w:textAlignment w:val="center"/>
              <w:rPr>
                <w:rFonts w:ascii="宋体" w:hAnsi="宋体"/>
                <w:sz w:val="24"/>
                <w:szCs w:val="24"/>
              </w:rPr>
            </w:pPr>
            <w:r>
              <w:rPr>
                <w:rFonts w:hint="eastAsia" w:ascii="宋体" w:hAnsi="宋体"/>
                <w:sz w:val="24"/>
                <w:szCs w:val="24"/>
              </w:rPr>
              <w:t>占</w:t>
            </w:r>
            <w:r>
              <w:rPr>
                <w:rFonts w:hint="eastAsia" w:ascii="宋体" w:hAnsi="宋体" w:eastAsia="宋体" w:cs="宋体"/>
                <w:i w:val="0"/>
                <w:iCs w:val="0"/>
                <w:color w:val="000000"/>
                <w:kern w:val="0"/>
                <w:sz w:val="24"/>
                <w:szCs w:val="24"/>
                <w:u w:val="none"/>
                <w:lang w:val="en-US" w:eastAsia="zh-CN" w:bidi="ar"/>
              </w:rPr>
              <w:t>公司</w:t>
            </w:r>
            <w:r>
              <w:rPr>
                <w:rFonts w:hint="eastAsia" w:ascii="宋体" w:hAnsi="宋体"/>
                <w:sz w:val="24"/>
                <w:szCs w:val="24"/>
              </w:rPr>
              <w:t>总股本比例（%）</w:t>
            </w:r>
          </w:p>
        </w:tc>
      </w:tr>
      <w:tr w14:paraId="363185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Align w:val="center"/>
          </w:tcPr>
          <w:p w14:paraId="4D311B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103" w:type="dxa"/>
            <w:vAlign w:val="center"/>
          </w:tcPr>
          <w:p w14:paraId="2F175A2F">
            <w:pPr>
              <w:keepNext w:val="0"/>
              <w:keepLines w:val="0"/>
              <w:widowControl/>
              <w:suppressLineNumbers w:val="0"/>
              <w:jc w:val="left"/>
              <w:textAlignment w:val="center"/>
              <w:rPr>
                <w:rFonts w:ascii="宋体" w:hAnsi="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步</w:t>
            </w:r>
            <w:r>
              <w:rPr>
                <w:rFonts w:hint="eastAsia" w:ascii="宋体" w:hAnsi="宋体" w:cs="宋体"/>
                <w:i w:val="0"/>
                <w:iCs w:val="0"/>
                <w:color w:val="000000"/>
                <w:kern w:val="0"/>
                <w:sz w:val="24"/>
                <w:szCs w:val="24"/>
                <w:u w:val="none"/>
                <w:lang w:val="en-US" w:eastAsia="zh-CN" w:bidi="ar"/>
              </w:rPr>
              <w:t>长</w:t>
            </w:r>
            <w:r>
              <w:rPr>
                <w:rFonts w:hint="eastAsia" w:ascii="宋体" w:hAnsi="宋体" w:eastAsia="宋体" w:cs="宋体"/>
                <w:i w:val="0"/>
                <w:iCs w:val="0"/>
                <w:color w:val="000000"/>
                <w:kern w:val="0"/>
                <w:sz w:val="24"/>
                <w:szCs w:val="24"/>
                <w:u w:val="none"/>
                <w:lang w:val="en-US" w:eastAsia="zh-CN" w:bidi="ar"/>
              </w:rPr>
              <w:t>（香港）控股有限公司</w:t>
            </w:r>
          </w:p>
        </w:tc>
        <w:tc>
          <w:tcPr>
            <w:tcW w:w="1700" w:type="dxa"/>
            <w:vAlign w:val="center"/>
          </w:tcPr>
          <w:p w14:paraId="0ED00211">
            <w:pPr>
              <w:keepNext w:val="0"/>
              <w:keepLines w:val="0"/>
              <w:widowControl/>
              <w:suppressLineNumbers w:val="0"/>
              <w:jc w:val="right"/>
              <w:textAlignment w:val="center"/>
              <w:rPr>
                <w:rFonts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490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957</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202</w:t>
            </w:r>
          </w:p>
        </w:tc>
        <w:tc>
          <w:tcPr>
            <w:tcW w:w="2561" w:type="dxa"/>
            <w:vAlign w:val="center"/>
          </w:tcPr>
          <w:p w14:paraId="0D7BCC41">
            <w:pPr>
              <w:keepNext w:val="0"/>
              <w:keepLines w:val="0"/>
              <w:widowControl/>
              <w:suppressLineNumbers w:val="0"/>
              <w:jc w:val="center"/>
              <w:textAlignment w:val="center"/>
              <w:rPr>
                <w:rFonts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46.56</w:t>
            </w:r>
          </w:p>
        </w:tc>
      </w:tr>
      <w:tr w14:paraId="3C24EA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Align w:val="center"/>
          </w:tcPr>
          <w:p w14:paraId="465B27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103" w:type="dxa"/>
            <w:vAlign w:val="center"/>
          </w:tcPr>
          <w:p w14:paraId="32BA8DEB">
            <w:pPr>
              <w:keepNext w:val="0"/>
              <w:keepLines w:val="0"/>
              <w:widowControl/>
              <w:suppressLineNumbers w:val="0"/>
              <w:jc w:val="left"/>
              <w:textAlignment w:val="center"/>
              <w:rPr>
                <w:rFonts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首</w:t>
            </w:r>
            <w:r>
              <w:rPr>
                <w:rFonts w:hint="eastAsia" w:ascii="宋体" w:hAnsi="宋体" w:cs="宋体"/>
                <w:i w:val="0"/>
                <w:iCs w:val="0"/>
                <w:color w:val="000000"/>
                <w:kern w:val="0"/>
                <w:sz w:val="24"/>
                <w:szCs w:val="24"/>
                <w:u w:val="none"/>
                <w:lang w:val="en-US" w:eastAsia="zh-CN" w:bidi="ar"/>
              </w:rPr>
              <w:t>诚国际</w:t>
            </w:r>
            <w:r>
              <w:rPr>
                <w:rFonts w:hint="eastAsia" w:ascii="宋体" w:hAnsi="宋体" w:eastAsia="宋体" w:cs="宋体"/>
                <w:i w:val="0"/>
                <w:iCs w:val="0"/>
                <w:color w:val="000000"/>
                <w:kern w:val="0"/>
                <w:sz w:val="24"/>
                <w:szCs w:val="24"/>
                <w:u w:val="none"/>
                <w:lang w:val="en-US" w:eastAsia="zh-CN" w:bidi="ar"/>
              </w:rPr>
              <w:t>（香港）有限公司</w:t>
            </w:r>
          </w:p>
        </w:tc>
        <w:tc>
          <w:tcPr>
            <w:tcW w:w="1700" w:type="dxa"/>
            <w:vAlign w:val="center"/>
          </w:tcPr>
          <w:p w14:paraId="16116850">
            <w:pPr>
              <w:keepNext w:val="0"/>
              <w:keepLines w:val="0"/>
              <w:widowControl/>
              <w:suppressLineNumbers w:val="0"/>
              <w:jc w:val="right"/>
              <w:textAlignment w:val="center"/>
              <w:rPr>
                <w:rFonts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82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742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400</w:t>
            </w:r>
          </w:p>
        </w:tc>
        <w:tc>
          <w:tcPr>
            <w:tcW w:w="2561" w:type="dxa"/>
            <w:vAlign w:val="center"/>
          </w:tcPr>
          <w:p w14:paraId="540E00E0">
            <w:pPr>
              <w:keepNext w:val="0"/>
              <w:keepLines w:val="0"/>
              <w:widowControl/>
              <w:suppressLineNumbers w:val="0"/>
              <w:jc w:val="center"/>
              <w:textAlignment w:val="center"/>
              <w:rPr>
                <w:rFonts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7.85</w:t>
            </w:r>
          </w:p>
        </w:tc>
      </w:tr>
      <w:tr w14:paraId="6CD3BA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Align w:val="center"/>
          </w:tcPr>
          <w:p w14:paraId="125774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4103" w:type="dxa"/>
            <w:vAlign w:val="center"/>
          </w:tcPr>
          <w:p w14:paraId="26FCFCC9">
            <w:pPr>
              <w:keepNext w:val="0"/>
              <w:keepLines w:val="0"/>
              <w:widowControl/>
              <w:suppressLineNumbers w:val="0"/>
              <w:jc w:val="lef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刘少鸾</w:t>
            </w:r>
          </w:p>
        </w:tc>
        <w:tc>
          <w:tcPr>
            <w:tcW w:w="1700" w:type="dxa"/>
            <w:vAlign w:val="center"/>
          </w:tcPr>
          <w:p w14:paraId="509942E5">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26</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458</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982</w:t>
            </w:r>
          </w:p>
        </w:tc>
        <w:tc>
          <w:tcPr>
            <w:tcW w:w="2561" w:type="dxa"/>
            <w:vAlign w:val="center"/>
          </w:tcPr>
          <w:p w14:paraId="2C0C1673">
            <w:pPr>
              <w:keepNext w:val="0"/>
              <w:keepLines w:val="0"/>
              <w:widowControl/>
              <w:suppressLineNumbers w:val="0"/>
              <w:jc w:val="center"/>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2.51</w:t>
            </w:r>
          </w:p>
        </w:tc>
      </w:tr>
      <w:tr w14:paraId="59B7BA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Align w:val="center"/>
          </w:tcPr>
          <w:p w14:paraId="797392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4103" w:type="dxa"/>
            <w:vAlign w:val="center"/>
          </w:tcPr>
          <w:p w14:paraId="411E6052">
            <w:pPr>
              <w:keepNext w:val="0"/>
              <w:keepLines w:val="0"/>
              <w:widowControl/>
              <w:suppressLineNumbers w:val="0"/>
              <w:jc w:val="left"/>
              <w:textAlignment w:val="center"/>
              <w:rPr>
                <w:rFonts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杨伟</w:t>
            </w:r>
          </w:p>
        </w:tc>
        <w:tc>
          <w:tcPr>
            <w:tcW w:w="1700" w:type="dxa"/>
            <w:vAlign w:val="center"/>
          </w:tcPr>
          <w:p w14:paraId="4834CDB4">
            <w:pPr>
              <w:keepNext w:val="0"/>
              <w:keepLines w:val="0"/>
              <w:widowControl/>
              <w:suppressLineNumbers w:val="0"/>
              <w:jc w:val="right"/>
              <w:textAlignment w:val="center"/>
              <w:rPr>
                <w:rFonts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22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030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145</w:t>
            </w:r>
          </w:p>
        </w:tc>
        <w:tc>
          <w:tcPr>
            <w:tcW w:w="2561" w:type="dxa"/>
            <w:vAlign w:val="center"/>
          </w:tcPr>
          <w:p w14:paraId="6E7DEF66">
            <w:pPr>
              <w:keepNext w:val="0"/>
              <w:keepLines w:val="0"/>
              <w:widowControl/>
              <w:suppressLineNumbers w:val="0"/>
              <w:jc w:val="center"/>
              <w:textAlignment w:val="center"/>
              <w:rPr>
                <w:rFonts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2.09</w:t>
            </w:r>
          </w:p>
        </w:tc>
      </w:tr>
      <w:tr w14:paraId="067E36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Align w:val="center"/>
          </w:tcPr>
          <w:p w14:paraId="4B4710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4103" w:type="dxa"/>
            <w:vAlign w:val="center"/>
          </w:tcPr>
          <w:p w14:paraId="6BE667F5">
            <w:pPr>
              <w:keepNext w:val="0"/>
              <w:keepLines w:val="0"/>
              <w:widowControl/>
              <w:suppressLineNumbers w:val="0"/>
              <w:jc w:val="lef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西藏丹红企业管理有限公司</w:t>
            </w:r>
          </w:p>
        </w:tc>
        <w:tc>
          <w:tcPr>
            <w:tcW w:w="1700" w:type="dxa"/>
            <w:vAlign w:val="center"/>
          </w:tcPr>
          <w:p w14:paraId="6678F44C">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20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408</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413</w:t>
            </w:r>
          </w:p>
        </w:tc>
        <w:tc>
          <w:tcPr>
            <w:tcW w:w="2561" w:type="dxa"/>
            <w:vAlign w:val="center"/>
          </w:tcPr>
          <w:p w14:paraId="3B0C7D39">
            <w:pPr>
              <w:keepNext w:val="0"/>
              <w:keepLines w:val="0"/>
              <w:widowControl/>
              <w:suppressLineNumbers w:val="0"/>
              <w:jc w:val="center"/>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1.94</w:t>
            </w:r>
          </w:p>
        </w:tc>
      </w:tr>
      <w:tr w14:paraId="703422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Align w:val="center"/>
          </w:tcPr>
          <w:p w14:paraId="220591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4103" w:type="dxa"/>
            <w:vAlign w:val="center"/>
          </w:tcPr>
          <w:p w14:paraId="5C92E5A5">
            <w:pPr>
              <w:keepNext w:val="0"/>
              <w:keepLines w:val="0"/>
              <w:widowControl/>
              <w:suppressLineNumbers w:val="0"/>
              <w:jc w:val="lef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香港中央结算有限公司</w:t>
            </w:r>
          </w:p>
        </w:tc>
        <w:tc>
          <w:tcPr>
            <w:tcW w:w="1700" w:type="dxa"/>
            <w:vAlign w:val="center"/>
          </w:tcPr>
          <w:p w14:paraId="03C08BEC">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20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159</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514</w:t>
            </w:r>
          </w:p>
        </w:tc>
        <w:tc>
          <w:tcPr>
            <w:tcW w:w="2561" w:type="dxa"/>
            <w:vAlign w:val="center"/>
          </w:tcPr>
          <w:p w14:paraId="6751ABDF">
            <w:pPr>
              <w:keepNext w:val="0"/>
              <w:keepLines w:val="0"/>
              <w:widowControl/>
              <w:suppressLineNumbers w:val="0"/>
              <w:jc w:val="center"/>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1.91</w:t>
            </w:r>
          </w:p>
        </w:tc>
      </w:tr>
      <w:tr w14:paraId="6B50EC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Align w:val="center"/>
          </w:tcPr>
          <w:p w14:paraId="406027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4103" w:type="dxa"/>
            <w:vAlign w:val="center"/>
          </w:tcPr>
          <w:p w14:paraId="7049ADAE">
            <w:pPr>
              <w:keepNext w:val="0"/>
              <w:keepLines w:val="0"/>
              <w:widowControl/>
              <w:suppressLineNumbers w:val="0"/>
              <w:jc w:val="lef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蓝色经济区产业投资基金（有限合伙）</w:t>
            </w:r>
          </w:p>
        </w:tc>
        <w:tc>
          <w:tcPr>
            <w:tcW w:w="1700" w:type="dxa"/>
            <w:vAlign w:val="center"/>
          </w:tcPr>
          <w:p w14:paraId="557F9CEA">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342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w:t>
            </w:r>
          </w:p>
        </w:tc>
        <w:tc>
          <w:tcPr>
            <w:tcW w:w="2561" w:type="dxa"/>
            <w:vAlign w:val="center"/>
          </w:tcPr>
          <w:p w14:paraId="1EB8D8A3">
            <w:pPr>
              <w:keepNext w:val="0"/>
              <w:keepLines w:val="0"/>
              <w:widowControl/>
              <w:suppressLineNumbers w:val="0"/>
              <w:jc w:val="center"/>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0.98</w:t>
            </w:r>
          </w:p>
        </w:tc>
      </w:tr>
      <w:tr w14:paraId="2F3E6D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Align w:val="center"/>
          </w:tcPr>
          <w:p w14:paraId="5461F8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4103" w:type="dxa"/>
            <w:vAlign w:val="center"/>
          </w:tcPr>
          <w:p w14:paraId="002FE806">
            <w:pPr>
              <w:keepNext w:val="0"/>
              <w:keepLines w:val="0"/>
              <w:widowControl/>
              <w:suppressLineNumbers w:val="0"/>
              <w:jc w:val="lef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黄定旺</w:t>
            </w:r>
          </w:p>
        </w:tc>
        <w:tc>
          <w:tcPr>
            <w:tcW w:w="1700" w:type="dxa"/>
            <w:vAlign w:val="center"/>
          </w:tcPr>
          <w:p w14:paraId="53E65B45">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042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w:t>
            </w:r>
          </w:p>
        </w:tc>
        <w:tc>
          <w:tcPr>
            <w:tcW w:w="2561" w:type="dxa"/>
            <w:vAlign w:val="center"/>
          </w:tcPr>
          <w:p w14:paraId="26847B44">
            <w:pPr>
              <w:keepNext w:val="0"/>
              <w:keepLines w:val="0"/>
              <w:widowControl/>
              <w:suppressLineNumbers w:val="0"/>
              <w:jc w:val="center"/>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0.95</w:t>
            </w:r>
          </w:p>
        </w:tc>
      </w:tr>
      <w:tr w14:paraId="6C150A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Align w:val="center"/>
          </w:tcPr>
          <w:p w14:paraId="49E255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4103" w:type="dxa"/>
            <w:vAlign w:val="center"/>
          </w:tcPr>
          <w:p w14:paraId="27A658E0">
            <w:pPr>
              <w:keepNext w:val="0"/>
              <w:keepLines w:val="0"/>
              <w:widowControl/>
              <w:suppressLineNumbers w:val="0"/>
              <w:jc w:val="lef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上海银行股份有限公司－银华中证创新药产业交易型开放式指数证券投资基金</w:t>
            </w:r>
          </w:p>
        </w:tc>
        <w:tc>
          <w:tcPr>
            <w:tcW w:w="1700" w:type="dxa"/>
            <w:vAlign w:val="center"/>
          </w:tcPr>
          <w:p w14:paraId="43DCE1E5">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7</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214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385</w:t>
            </w:r>
          </w:p>
        </w:tc>
        <w:tc>
          <w:tcPr>
            <w:tcW w:w="2561" w:type="dxa"/>
            <w:vAlign w:val="center"/>
          </w:tcPr>
          <w:p w14:paraId="6CBF1C03">
            <w:pPr>
              <w:keepNext w:val="0"/>
              <w:keepLines w:val="0"/>
              <w:widowControl/>
              <w:suppressLineNumbers w:val="0"/>
              <w:jc w:val="center"/>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0.68</w:t>
            </w:r>
          </w:p>
        </w:tc>
      </w:tr>
      <w:tr w14:paraId="6D5986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Align w:val="center"/>
          </w:tcPr>
          <w:p w14:paraId="7338FE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4103" w:type="dxa"/>
            <w:vAlign w:val="center"/>
          </w:tcPr>
          <w:p w14:paraId="78DED5B0">
            <w:pPr>
              <w:keepNext w:val="0"/>
              <w:keepLines w:val="0"/>
              <w:widowControl/>
              <w:suppressLineNumbers w:val="0"/>
              <w:jc w:val="lef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中国农业银行股份有限公司－中证500交易型开放式指数证券投资基金</w:t>
            </w:r>
          </w:p>
        </w:tc>
        <w:tc>
          <w:tcPr>
            <w:tcW w:w="1700" w:type="dxa"/>
            <w:vAlign w:val="center"/>
          </w:tcPr>
          <w:p w14:paraId="39F653A7">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7</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005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326</w:t>
            </w:r>
          </w:p>
        </w:tc>
        <w:tc>
          <w:tcPr>
            <w:tcW w:w="2561" w:type="dxa"/>
            <w:vAlign w:val="center"/>
          </w:tcPr>
          <w:p w14:paraId="142F621F">
            <w:pPr>
              <w:keepNext w:val="0"/>
              <w:keepLines w:val="0"/>
              <w:widowControl/>
              <w:suppressLineNumbers w:val="0"/>
              <w:jc w:val="center"/>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0.66</w:t>
            </w:r>
          </w:p>
        </w:tc>
      </w:tr>
    </w:tbl>
    <w:p w14:paraId="721619AC">
      <w:pPr>
        <w:pStyle w:val="18"/>
        <w:spacing w:before="120" w:beforeLines="5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二、前十大无限售条件股东持股情况</w:t>
      </w:r>
    </w:p>
    <w:tbl>
      <w:tblPr>
        <w:tblStyle w:val="9"/>
        <w:tblW w:w="920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46"/>
        <w:gridCol w:w="4095"/>
        <w:gridCol w:w="1754"/>
        <w:gridCol w:w="2514"/>
      </w:tblGrid>
      <w:tr w14:paraId="2D26AF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0" w:hRule="atLeast"/>
        </w:trPr>
        <w:tc>
          <w:tcPr>
            <w:tcW w:w="846" w:type="dxa"/>
            <w:vAlign w:val="center"/>
          </w:tcPr>
          <w:p w14:paraId="724CA6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4095" w:type="dxa"/>
            <w:vAlign w:val="center"/>
          </w:tcPr>
          <w:p w14:paraId="2F6BB7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szCs w:val="24"/>
              </w:rPr>
              <w:t>股东名称</w:t>
            </w:r>
          </w:p>
        </w:tc>
        <w:tc>
          <w:tcPr>
            <w:tcW w:w="1754" w:type="dxa"/>
            <w:vAlign w:val="center"/>
          </w:tcPr>
          <w:p w14:paraId="37935BC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szCs w:val="24"/>
              </w:rPr>
              <w:t>持股数量（股）</w:t>
            </w:r>
          </w:p>
        </w:tc>
        <w:tc>
          <w:tcPr>
            <w:tcW w:w="2514" w:type="dxa"/>
            <w:vAlign w:val="center"/>
          </w:tcPr>
          <w:p w14:paraId="7073247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szCs w:val="24"/>
              </w:rPr>
              <w:t>占</w:t>
            </w:r>
            <w:r>
              <w:rPr>
                <w:rFonts w:hint="eastAsia" w:ascii="宋体" w:hAnsi="宋体" w:eastAsia="宋体" w:cs="宋体"/>
                <w:i w:val="0"/>
                <w:iCs w:val="0"/>
                <w:color w:val="000000"/>
                <w:kern w:val="0"/>
                <w:sz w:val="24"/>
                <w:szCs w:val="24"/>
                <w:u w:val="none"/>
                <w:lang w:val="en-US" w:eastAsia="zh-CN" w:bidi="ar"/>
              </w:rPr>
              <w:t>公司</w:t>
            </w:r>
            <w:r>
              <w:rPr>
                <w:rFonts w:hint="eastAsia" w:ascii="宋体" w:hAnsi="宋体"/>
                <w:sz w:val="24"/>
                <w:szCs w:val="24"/>
              </w:rPr>
              <w:t>总股本比例（%）</w:t>
            </w:r>
          </w:p>
        </w:tc>
      </w:tr>
      <w:tr w14:paraId="2F7AD0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Align w:val="center"/>
          </w:tcPr>
          <w:p w14:paraId="1B858357">
            <w:pPr>
              <w:keepNext w:val="0"/>
              <w:keepLines w:val="0"/>
              <w:widowControl/>
              <w:suppressLineNumbers w:val="0"/>
              <w:jc w:val="center"/>
              <w:textAlignment w:val="center"/>
              <w:rPr>
                <w:rFonts w:ascii="宋体" w:hAnsi="宋体"/>
                <w:sz w:val="24"/>
                <w:szCs w:val="24"/>
              </w:rPr>
            </w:pPr>
            <w:r>
              <w:rPr>
                <w:rFonts w:hint="eastAsia" w:ascii="宋体" w:hAnsi="宋体"/>
                <w:sz w:val="24"/>
                <w:szCs w:val="24"/>
              </w:rPr>
              <w:t>1</w:t>
            </w:r>
          </w:p>
        </w:tc>
        <w:tc>
          <w:tcPr>
            <w:tcW w:w="4095" w:type="dxa"/>
            <w:vAlign w:val="center"/>
          </w:tcPr>
          <w:p w14:paraId="37757543">
            <w:pPr>
              <w:keepNext w:val="0"/>
              <w:keepLines w:val="0"/>
              <w:widowControl/>
              <w:suppressLineNumbers w:val="0"/>
              <w:jc w:val="left"/>
              <w:textAlignment w:val="center"/>
              <w:rPr>
                <w:rFonts w:ascii="宋体" w:hAnsi="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步</w:t>
            </w:r>
            <w:r>
              <w:rPr>
                <w:rFonts w:hint="eastAsia" w:ascii="宋体" w:hAnsi="宋体" w:cs="宋体"/>
                <w:i w:val="0"/>
                <w:iCs w:val="0"/>
                <w:color w:val="000000"/>
                <w:kern w:val="0"/>
                <w:sz w:val="24"/>
                <w:szCs w:val="24"/>
                <w:u w:val="none"/>
                <w:lang w:val="en-US" w:eastAsia="zh-CN" w:bidi="ar"/>
              </w:rPr>
              <w:t>长</w:t>
            </w:r>
            <w:r>
              <w:rPr>
                <w:rFonts w:hint="eastAsia" w:ascii="宋体" w:hAnsi="宋体" w:eastAsia="宋体" w:cs="宋体"/>
                <w:i w:val="0"/>
                <w:iCs w:val="0"/>
                <w:color w:val="000000"/>
                <w:kern w:val="0"/>
                <w:sz w:val="24"/>
                <w:szCs w:val="24"/>
                <w:u w:val="none"/>
                <w:lang w:val="en-US" w:eastAsia="zh-CN" w:bidi="ar"/>
              </w:rPr>
              <w:t>（香港）控股有限公司</w:t>
            </w:r>
          </w:p>
        </w:tc>
        <w:tc>
          <w:tcPr>
            <w:tcW w:w="1754" w:type="dxa"/>
            <w:vAlign w:val="center"/>
          </w:tcPr>
          <w:p w14:paraId="4A4D54AB">
            <w:pPr>
              <w:keepNext w:val="0"/>
              <w:keepLines w:val="0"/>
              <w:widowControl/>
              <w:suppressLineNumbers w:val="0"/>
              <w:jc w:val="right"/>
              <w:textAlignment w:val="center"/>
              <w:rPr>
                <w:rFonts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490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957</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202</w:t>
            </w:r>
          </w:p>
        </w:tc>
        <w:tc>
          <w:tcPr>
            <w:tcW w:w="2514" w:type="dxa"/>
            <w:vAlign w:val="center"/>
          </w:tcPr>
          <w:p w14:paraId="33576D77">
            <w:pPr>
              <w:keepNext w:val="0"/>
              <w:keepLines w:val="0"/>
              <w:widowControl/>
              <w:suppressLineNumbers w:val="0"/>
              <w:jc w:val="center"/>
              <w:textAlignment w:val="center"/>
              <w:rPr>
                <w:rFonts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46.56</w:t>
            </w:r>
          </w:p>
        </w:tc>
      </w:tr>
      <w:tr w14:paraId="491D45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Align w:val="center"/>
          </w:tcPr>
          <w:p w14:paraId="3CA0D599">
            <w:pPr>
              <w:keepNext w:val="0"/>
              <w:keepLines w:val="0"/>
              <w:widowControl/>
              <w:suppressLineNumbers w:val="0"/>
              <w:jc w:val="center"/>
              <w:textAlignment w:val="center"/>
              <w:rPr>
                <w:rFonts w:ascii="宋体" w:hAnsi="宋体"/>
                <w:sz w:val="24"/>
                <w:szCs w:val="24"/>
              </w:rPr>
            </w:pPr>
            <w:r>
              <w:rPr>
                <w:rFonts w:hint="eastAsia" w:ascii="宋体" w:hAnsi="宋体"/>
                <w:sz w:val="24"/>
                <w:szCs w:val="24"/>
              </w:rPr>
              <w:t>2</w:t>
            </w:r>
          </w:p>
        </w:tc>
        <w:tc>
          <w:tcPr>
            <w:tcW w:w="4095" w:type="dxa"/>
            <w:vAlign w:val="center"/>
          </w:tcPr>
          <w:p w14:paraId="6BF4B1A9">
            <w:pPr>
              <w:keepNext w:val="0"/>
              <w:keepLines w:val="0"/>
              <w:widowControl/>
              <w:suppressLineNumbers w:val="0"/>
              <w:jc w:val="left"/>
              <w:textAlignment w:val="center"/>
              <w:rPr>
                <w:rFonts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首</w:t>
            </w:r>
            <w:r>
              <w:rPr>
                <w:rFonts w:hint="eastAsia" w:ascii="宋体" w:hAnsi="宋体" w:cs="宋体"/>
                <w:i w:val="0"/>
                <w:iCs w:val="0"/>
                <w:color w:val="000000"/>
                <w:kern w:val="0"/>
                <w:sz w:val="24"/>
                <w:szCs w:val="24"/>
                <w:u w:val="none"/>
                <w:lang w:val="en-US" w:eastAsia="zh-CN" w:bidi="ar"/>
              </w:rPr>
              <w:t>诚国际</w:t>
            </w:r>
            <w:r>
              <w:rPr>
                <w:rFonts w:hint="eastAsia" w:ascii="宋体" w:hAnsi="宋体" w:eastAsia="宋体" w:cs="宋体"/>
                <w:i w:val="0"/>
                <w:iCs w:val="0"/>
                <w:color w:val="000000"/>
                <w:kern w:val="0"/>
                <w:sz w:val="24"/>
                <w:szCs w:val="24"/>
                <w:u w:val="none"/>
                <w:lang w:val="en-US" w:eastAsia="zh-CN" w:bidi="ar"/>
              </w:rPr>
              <w:t>（香港）有限公司</w:t>
            </w:r>
          </w:p>
        </w:tc>
        <w:tc>
          <w:tcPr>
            <w:tcW w:w="1754" w:type="dxa"/>
            <w:vAlign w:val="center"/>
          </w:tcPr>
          <w:p w14:paraId="629A3879">
            <w:pPr>
              <w:keepNext w:val="0"/>
              <w:keepLines w:val="0"/>
              <w:widowControl/>
              <w:suppressLineNumbers w:val="0"/>
              <w:jc w:val="right"/>
              <w:textAlignment w:val="center"/>
              <w:rPr>
                <w:rFonts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82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742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400</w:t>
            </w:r>
          </w:p>
        </w:tc>
        <w:tc>
          <w:tcPr>
            <w:tcW w:w="2514" w:type="dxa"/>
            <w:vAlign w:val="center"/>
          </w:tcPr>
          <w:p w14:paraId="7D8EA4E4">
            <w:pPr>
              <w:keepNext w:val="0"/>
              <w:keepLines w:val="0"/>
              <w:widowControl/>
              <w:suppressLineNumbers w:val="0"/>
              <w:jc w:val="center"/>
              <w:textAlignment w:val="center"/>
              <w:rPr>
                <w:rFonts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7.85</w:t>
            </w:r>
          </w:p>
        </w:tc>
      </w:tr>
      <w:tr w14:paraId="196E88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Align w:val="center"/>
          </w:tcPr>
          <w:p w14:paraId="74E0E8E9">
            <w:pPr>
              <w:keepNext w:val="0"/>
              <w:keepLines w:val="0"/>
              <w:widowControl/>
              <w:suppressLineNumbers w:val="0"/>
              <w:jc w:val="center"/>
              <w:textAlignment w:val="center"/>
              <w:rPr>
                <w:rFonts w:ascii="宋体" w:hAnsi="宋体"/>
                <w:sz w:val="24"/>
                <w:szCs w:val="24"/>
              </w:rPr>
            </w:pPr>
            <w:r>
              <w:rPr>
                <w:rFonts w:hint="eastAsia" w:ascii="宋体" w:hAnsi="宋体"/>
                <w:sz w:val="24"/>
                <w:szCs w:val="24"/>
              </w:rPr>
              <w:t>3</w:t>
            </w:r>
          </w:p>
        </w:tc>
        <w:tc>
          <w:tcPr>
            <w:tcW w:w="4095" w:type="dxa"/>
            <w:vAlign w:val="center"/>
          </w:tcPr>
          <w:p w14:paraId="27F91C61">
            <w:pPr>
              <w:keepNext w:val="0"/>
              <w:keepLines w:val="0"/>
              <w:widowControl/>
              <w:suppressLineNumbers w:val="0"/>
              <w:jc w:val="lef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刘少鸾</w:t>
            </w:r>
          </w:p>
        </w:tc>
        <w:tc>
          <w:tcPr>
            <w:tcW w:w="1754" w:type="dxa"/>
            <w:vAlign w:val="center"/>
          </w:tcPr>
          <w:p w14:paraId="296FAAE5">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26</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458</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982</w:t>
            </w:r>
          </w:p>
        </w:tc>
        <w:tc>
          <w:tcPr>
            <w:tcW w:w="2514" w:type="dxa"/>
            <w:vAlign w:val="center"/>
          </w:tcPr>
          <w:p w14:paraId="3DA27A2B">
            <w:pPr>
              <w:keepNext w:val="0"/>
              <w:keepLines w:val="0"/>
              <w:widowControl/>
              <w:suppressLineNumbers w:val="0"/>
              <w:jc w:val="center"/>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2.51</w:t>
            </w:r>
          </w:p>
        </w:tc>
      </w:tr>
      <w:tr w14:paraId="235ACE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Align w:val="center"/>
          </w:tcPr>
          <w:p w14:paraId="76D9448F">
            <w:pPr>
              <w:keepNext w:val="0"/>
              <w:keepLines w:val="0"/>
              <w:widowControl/>
              <w:suppressLineNumbers w:val="0"/>
              <w:jc w:val="center"/>
              <w:textAlignment w:val="center"/>
              <w:rPr>
                <w:rFonts w:ascii="宋体" w:hAnsi="宋体"/>
                <w:sz w:val="24"/>
                <w:szCs w:val="24"/>
              </w:rPr>
            </w:pPr>
            <w:r>
              <w:rPr>
                <w:rFonts w:hint="eastAsia" w:ascii="宋体" w:hAnsi="宋体"/>
                <w:sz w:val="24"/>
                <w:szCs w:val="24"/>
              </w:rPr>
              <w:t>4</w:t>
            </w:r>
          </w:p>
        </w:tc>
        <w:tc>
          <w:tcPr>
            <w:tcW w:w="4095" w:type="dxa"/>
            <w:vAlign w:val="center"/>
          </w:tcPr>
          <w:p w14:paraId="0A98C6C7">
            <w:pPr>
              <w:keepNext w:val="0"/>
              <w:keepLines w:val="0"/>
              <w:widowControl/>
              <w:suppressLineNumbers w:val="0"/>
              <w:jc w:val="left"/>
              <w:textAlignment w:val="center"/>
              <w:rPr>
                <w:rFonts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杨伟</w:t>
            </w:r>
          </w:p>
        </w:tc>
        <w:tc>
          <w:tcPr>
            <w:tcW w:w="1754" w:type="dxa"/>
            <w:vAlign w:val="center"/>
          </w:tcPr>
          <w:p w14:paraId="3A147008">
            <w:pPr>
              <w:keepNext w:val="0"/>
              <w:keepLines w:val="0"/>
              <w:widowControl/>
              <w:suppressLineNumbers w:val="0"/>
              <w:jc w:val="right"/>
              <w:textAlignment w:val="center"/>
              <w:rPr>
                <w:rFonts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22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030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145</w:t>
            </w:r>
          </w:p>
        </w:tc>
        <w:tc>
          <w:tcPr>
            <w:tcW w:w="2514" w:type="dxa"/>
            <w:vAlign w:val="center"/>
          </w:tcPr>
          <w:p w14:paraId="052B6B03">
            <w:pPr>
              <w:keepNext w:val="0"/>
              <w:keepLines w:val="0"/>
              <w:widowControl/>
              <w:suppressLineNumbers w:val="0"/>
              <w:jc w:val="center"/>
              <w:textAlignment w:val="center"/>
              <w:rPr>
                <w:rFonts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2.09</w:t>
            </w:r>
          </w:p>
        </w:tc>
      </w:tr>
      <w:tr w14:paraId="548EC3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Align w:val="center"/>
          </w:tcPr>
          <w:p w14:paraId="2DD7AC12">
            <w:pPr>
              <w:keepNext w:val="0"/>
              <w:keepLines w:val="0"/>
              <w:widowControl/>
              <w:suppressLineNumbers w:val="0"/>
              <w:jc w:val="center"/>
              <w:textAlignment w:val="center"/>
              <w:rPr>
                <w:rFonts w:ascii="宋体" w:hAnsi="宋体"/>
                <w:sz w:val="24"/>
                <w:szCs w:val="24"/>
              </w:rPr>
            </w:pPr>
            <w:r>
              <w:rPr>
                <w:rFonts w:hint="eastAsia" w:ascii="宋体" w:hAnsi="宋体"/>
                <w:sz w:val="24"/>
                <w:szCs w:val="24"/>
              </w:rPr>
              <w:t>5</w:t>
            </w:r>
          </w:p>
        </w:tc>
        <w:tc>
          <w:tcPr>
            <w:tcW w:w="4095" w:type="dxa"/>
            <w:vAlign w:val="center"/>
          </w:tcPr>
          <w:p w14:paraId="6F4ADA5F">
            <w:pPr>
              <w:keepNext w:val="0"/>
              <w:keepLines w:val="0"/>
              <w:widowControl/>
              <w:suppressLineNumbers w:val="0"/>
              <w:jc w:val="lef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西藏丹红企业管理有限公司</w:t>
            </w:r>
          </w:p>
        </w:tc>
        <w:tc>
          <w:tcPr>
            <w:tcW w:w="1754" w:type="dxa"/>
            <w:vAlign w:val="center"/>
          </w:tcPr>
          <w:p w14:paraId="72C5812B">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20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408</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413</w:t>
            </w:r>
          </w:p>
        </w:tc>
        <w:tc>
          <w:tcPr>
            <w:tcW w:w="2514" w:type="dxa"/>
            <w:vAlign w:val="center"/>
          </w:tcPr>
          <w:p w14:paraId="66CA832A">
            <w:pPr>
              <w:keepNext w:val="0"/>
              <w:keepLines w:val="0"/>
              <w:widowControl/>
              <w:suppressLineNumbers w:val="0"/>
              <w:jc w:val="center"/>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1.94</w:t>
            </w:r>
          </w:p>
        </w:tc>
      </w:tr>
      <w:tr w14:paraId="422CC2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Align w:val="center"/>
          </w:tcPr>
          <w:p w14:paraId="649492DC">
            <w:pPr>
              <w:keepNext w:val="0"/>
              <w:keepLines w:val="0"/>
              <w:widowControl/>
              <w:suppressLineNumbers w:val="0"/>
              <w:jc w:val="center"/>
              <w:textAlignment w:val="center"/>
              <w:rPr>
                <w:rFonts w:ascii="宋体" w:hAnsi="宋体"/>
                <w:sz w:val="24"/>
                <w:szCs w:val="24"/>
              </w:rPr>
            </w:pPr>
            <w:r>
              <w:rPr>
                <w:rFonts w:hint="eastAsia" w:ascii="宋体" w:hAnsi="宋体"/>
                <w:sz w:val="24"/>
                <w:szCs w:val="24"/>
              </w:rPr>
              <w:t>6</w:t>
            </w:r>
          </w:p>
        </w:tc>
        <w:tc>
          <w:tcPr>
            <w:tcW w:w="4095" w:type="dxa"/>
            <w:vAlign w:val="center"/>
          </w:tcPr>
          <w:p w14:paraId="00E255E1">
            <w:pPr>
              <w:keepNext w:val="0"/>
              <w:keepLines w:val="0"/>
              <w:widowControl/>
              <w:suppressLineNumbers w:val="0"/>
              <w:jc w:val="lef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香港中央结算有限公司</w:t>
            </w:r>
          </w:p>
        </w:tc>
        <w:tc>
          <w:tcPr>
            <w:tcW w:w="1754" w:type="dxa"/>
            <w:vAlign w:val="center"/>
          </w:tcPr>
          <w:p w14:paraId="544B0D21">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20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159</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514</w:t>
            </w:r>
          </w:p>
        </w:tc>
        <w:tc>
          <w:tcPr>
            <w:tcW w:w="2514" w:type="dxa"/>
            <w:vAlign w:val="center"/>
          </w:tcPr>
          <w:p w14:paraId="7D1F2D70">
            <w:pPr>
              <w:keepNext w:val="0"/>
              <w:keepLines w:val="0"/>
              <w:widowControl/>
              <w:suppressLineNumbers w:val="0"/>
              <w:jc w:val="center"/>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1.91</w:t>
            </w:r>
          </w:p>
        </w:tc>
      </w:tr>
      <w:tr w14:paraId="7BB143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Align w:val="center"/>
          </w:tcPr>
          <w:p w14:paraId="030711CB">
            <w:pPr>
              <w:keepNext w:val="0"/>
              <w:keepLines w:val="0"/>
              <w:widowControl/>
              <w:suppressLineNumbers w:val="0"/>
              <w:jc w:val="center"/>
              <w:textAlignment w:val="center"/>
              <w:rPr>
                <w:rFonts w:ascii="宋体" w:hAnsi="宋体"/>
                <w:sz w:val="24"/>
                <w:szCs w:val="24"/>
              </w:rPr>
            </w:pPr>
            <w:r>
              <w:rPr>
                <w:rFonts w:hint="eastAsia" w:ascii="宋体" w:hAnsi="宋体"/>
                <w:sz w:val="24"/>
                <w:szCs w:val="24"/>
              </w:rPr>
              <w:t>7</w:t>
            </w:r>
          </w:p>
        </w:tc>
        <w:tc>
          <w:tcPr>
            <w:tcW w:w="4095" w:type="dxa"/>
            <w:vAlign w:val="center"/>
          </w:tcPr>
          <w:p w14:paraId="5572FB86">
            <w:pPr>
              <w:keepNext w:val="0"/>
              <w:keepLines w:val="0"/>
              <w:widowControl/>
              <w:suppressLineNumbers w:val="0"/>
              <w:jc w:val="lef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蓝色经济区产业投资基金（有限合伙）</w:t>
            </w:r>
          </w:p>
        </w:tc>
        <w:tc>
          <w:tcPr>
            <w:tcW w:w="1754" w:type="dxa"/>
            <w:vAlign w:val="center"/>
          </w:tcPr>
          <w:p w14:paraId="0B849642">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342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w:t>
            </w:r>
          </w:p>
        </w:tc>
        <w:tc>
          <w:tcPr>
            <w:tcW w:w="2514" w:type="dxa"/>
            <w:vAlign w:val="center"/>
          </w:tcPr>
          <w:p w14:paraId="63B51CF1">
            <w:pPr>
              <w:keepNext w:val="0"/>
              <w:keepLines w:val="0"/>
              <w:widowControl/>
              <w:suppressLineNumbers w:val="0"/>
              <w:jc w:val="center"/>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0.98</w:t>
            </w:r>
          </w:p>
        </w:tc>
      </w:tr>
      <w:tr w14:paraId="3BF877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Align w:val="center"/>
          </w:tcPr>
          <w:p w14:paraId="51E0FB4D">
            <w:pPr>
              <w:keepNext w:val="0"/>
              <w:keepLines w:val="0"/>
              <w:widowControl/>
              <w:suppressLineNumbers w:val="0"/>
              <w:jc w:val="center"/>
              <w:textAlignment w:val="center"/>
              <w:rPr>
                <w:rFonts w:ascii="宋体" w:hAnsi="宋体"/>
                <w:sz w:val="24"/>
                <w:szCs w:val="24"/>
              </w:rPr>
            </w:pPr>
            <w:r>
              <w:rPr>
                <w:rFonts w:hint="eastAsia" w:ascii="宋体" w:hAnsi="宋体"/>
                <w:sz w:val="24"/>
                <w:szCs w:val="24"/>
              </w:rPr>
              <w:t>8</w:t>
            </w:r>
          </w:p>
        </w:tc>
        <w:tc>
          <w:tcPr>
            <w:tcW w:w="4095" w:type="dxa"/>
            <w:vAlign w:val="center"/>
          </w:tcPr>
          <w:p w14:paraId="646E7C40">
            <w:pPr>
              <w:keepNext w:val="0"/>
              <w:keepLines w:val="0"/>
              <w:widowControl/>
              <w:suppressLineNumbers w:val="0"/>
              <w:jc w:val="lef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黄定旺</w:t>
            </w:r>
          </w:p>
        </w:tc>
        <w:tc>
          <w:tcPr>
            <w:tcW w:w="1754" w:type="dxa"/>
            <w:vAlign w:val="center"/>
          </w:tcPr>
          <w:p w14:paraId="3F3D673C">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042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w:t>
            </w:r>
          </w:p>
        </w:tc>
        <w:tc>
          <w:tcPr>
            <w:tcW w:w="2514" w:type="dxa"/>
            <w:vAlign w:val="center"/>
          </w:tcPr>
          <w:p w14:paraId="7DDC500A">
            <w:pPr>
              <w:keepNext w:val="0"/>
              <w:keepLines w:val="0"/>
              <w:widowControl/>
              <w:suppressLineNumbers w:val="0"/>
              <w:jc w:val="center"/>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0.95</w:t>
            </w:r>
          </w:p>
        </w:tc>
      </w:tr>
      <w:tr w14:paraId="61C39F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Align w:val="center"/>
          </w:tcPr>
          <w:p w14:paraId="6BE769F9">
            <w:pPr>
              <w:keepNext w:val="0"/>
              <w:keepLines w:val="0"/>
              <w:widowControl/>
              <w:suppressLineNumbers w:val="0"/>
              <w:jc w:val="center"/>
              <w:textAlignment w:val="center"/>
              <w:rPr>
                <w:rFonts w:ascii="宋体" w:hAnsi="宋体"/>
                <w:sz w:val="24"/>
                <w:szCs w:val="24"/>
              </w:rPr>
            </w:pPr>
            <w:r>
              <w:rPr>
                <w:rFonts w:hint="eastAsia" w:ascii="宋体" w:hAnsi="宋体"/>
                <w:sz w:val="24"/>
                <w:szCs w:val="24"/>
              </w:rPr>
              <w:t>9</w:t>
            </w:r>
          </w:p>
        </w:tc>
        <w:tc>
          <w:tcPr>
            <w:tcW w:w="4095" w:type="dxa"/>
            <w:vAlign w:val="center"/>
          </w:tcPr>
          <w:p w14:paraId="4EFAE6F3">
            <w:pPr>
              <w:keepNext w:val="0"/>
              <w:keepLines w:val="0"/>
              <w:widowControl/>
              <w:suppressLineNumbers w:val="0"/>
              <w:jc w:val="lef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上海银行股份有限公司－银华中证创新药产业交易型开放式指数证券投资基金</w:t>
            </w:r>
          </w:p>
        </w:tc>
        <w:tc>
          <w:tcPr>
            <w:tcW w:w="1754" w:type="dxa"/>
            <w:vAlign w:val="center"/>
          </w:tcPr>
          <w:p w14:paraId="1EFC8F8E">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7</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214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385</w:t>
            </w:r>
          </w:p>
        </w:tc>
        <w:tc>
          <w:tcPr>
            <w:tcW w:w="2514" w:type="dxa"/>
            <w:vAlign w:val="center"/>
          </w:tcPr>
          <w:p w14:paraId="7CD97664">
            <w:pPr>
              <w:keepNext w:val="0"/>
              <w:keepLines w:val="0"/>
              <w:widowControl/>
              <w:suppressLineNumbers w:val="0"/>
              <w:jc w:val="center"/>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0.68</w:t>
            </w:r>
          </w:p>
        </w:tc>
      </w:tr>
      <w:tr w14:paraId="3F3B3F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Align w:val="center"/>
          </w:tcPr>
          <w:p w14:paraId="5DE230FD">
            <w:pPr>
              <w:keepNext w:val="0"/>
              <w:keepLines w:val="0"/>
              <w:widowControl/>
              <w:suppressLineNumbers w:val="0"/>
              <w:jc w:val="center"/>
              <w:textAlignment w:val="center"/>
              <w:rPr>
                <w:rFonts w:ascii="宋体" w:hAnsi="宋体"/>
                <w:sz w:val="24"/>
                <w:szCs w:val="24"/>
              </w:rPr>
            </w:pPr>
            <w:r>
              <w:rPr>
                <w:rFonts w:hint="eastAsia" w:ascii="宋体" w:hAnsi="宋体"/>
                <w:sz w:val="24"/>
                <w:szCs w:val="24"/>
              </w:rPr>
              <w:t>1</w:t>
            </w:r>
            <w:r>
              <w:rPr>
                <w:rFonts w:ascii="宋体" w:hAnsi="宋体"/>
                <w:sz w:val="24"/>
                <w:szCs w:val="24"/>
              </w:rPr>
              <w:t>0</w:t>
            </w:r>
          </w:p>
        </w:tc>
        <w:tc>
          <w:tcPr>
            <w:tcW w:w="4095" w:type="dxa"/>
            <w:vAlign w:val="center"/>
          </w:tcPr>
          <w:p w14:paraId="2899E107">
            <w:pPr>
              <w:keepNext w:val="0"/>
              <w:keepLines w:val="0"/>
              <w:widowControl/>
              <w:suppressLineNumbers w:val="0"/>
              <w:jc w:val="lef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中国农业银行股份有限公司－中证500交易型开放式指数证券投资基金</w:t>
            </w:r>
          </w:p>
        </w:tc>
        <w:tc>
          <w:tcPr>
            <w:tcW w:w="1754" w:type="dxa"/>
            <w:vAlign w:val="center"/>
          </w:tcPr>
          <w:p w14:paraId="2854A7C5">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7</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005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326</w:t>
            </w:r>
          </w:p>
        </w:tc>
        <w:tc>
          <w:tcPr>
            <w:tcW w:w="2514" w:type="dxa"/>
            <w:vAlign w:val="center"/>
          </w:tcPr>
          <w:p w14:paraId="2A475FCB">
            <w:pPr>
              <w:keepNext w:val="0"/>
              <w:keepLines w:val="0"/>
              <w:widowControl/>
              <w:suppressLineNumbers w:val="0"/>
              <w:jc w:val="center"/>
              <w:textAlignment w:val="center"/>
              <w:rPr>
                <w:rFonts w:hint="eastAsia" w:ascii="宋体" w:hAnsi="宋体"/>
                <w:color w:val="000000"/>
                <w:sz w:val="24"/>
                <w:szCs w:val="24"/>
              </w:rPr>
            </w:pPr>
            <w:r>
              <w:rPr>
                <w:rFonts w:hint="eastAsia" w:ascii="宋体" w:hAnsi="宋体" w:eastAsia="宋体" w:cs="宋体"/>
                <w:i w:val="0"/>
                <w:iCs w:val="0"/>
                <w:color w:val="000000"/>
                <w:kern w:val="0"/>
                <w:sz w:val="24"/>
                <w:szCs w:val="24"/>
                <w:u w:val="none"/>
                <w:lang w:val="en-US" w:eastAsia="zh-CN" w:bidi="ar"/>
              </w:rPr>
              <w:t>0.66</w:t>
            </w:r>
          </w:p>
        </w:tc>
      </w:tr>
    </w:tbl>
    <w:p w14:paraId="7D7E6912">
      <w:pPr>
        <w:pStyle w:val="18"/>
        <w:spacing w:line="360" w:lineRule="auto"/>
        <w:rPr>
          <w:rFonts w:asciiTheme="minorEastAsia" w:hAnsiTheme="minorEastAsia" w:eastAsiaTheme="minorEastAsia"/>
          <w:sz w:val="24"/>
          <w:szCs w:val="24"/>
        </w:rPr>
      </w:pPr>
    </w:p>
    <w:p w14:paraId="289B9BC9">
      <w:pPr>
        <w:pStyle w:val="18"/>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特此公告。</w:t>
      </w:r>
    </w:p>
    <w:p w14:paraId="0E83DD4B">
      <w:pPr>
        <w:pStyle w:val="18"/>
        <w:spacing w:line="360" w:lineRule="auto"/>
        <w:ind w:firstLine="480" w:firstLineChars="200"/>
        <w:rPr>
          <w:rFonts w:asciiTheme="minorEastAsia" w:hAnsiTheme="minorEastAsia" w:eastAsiaTheme="minorEastAsia"/>
          <w:sz w:val="24"/>
          <w:szCs w:val="24"/>
        </w:rPr>
      </w:pPr>
    </w:p>
    <w:p w14:paraId="348DF130">
      <w:pPr>
        <w:keepNext w:val="0"/>
        <w:keepLines w:val="0"/>
        <w:pageBreakBefore w:val="0"/>
        <w:widowControl w:val="0"/>
        <w:pBdr>
          <w:right w:val="none" w:color="000000" w:sz="0" w:space="7"/>
        </w:pBdr>
        <w:kinsoku/>
        <w:wordWrap/>
        <w:overflowPunct/>
        <w:topLinePunct w:val="0"/>
        <w:autoSpaceDE w:val="0"/>
        <w:autoSpaceDN w:val="0"/>
        <w:bidi w:val="0"/>
        <w:adjustRightInd/>
        <w:snapToGrid/>
        <w:spacing w:line="360" w:lineRule="auto"/>
        <w:ind w:firstLine="0" w:firstLineChars="0"/>
        <w:jc w:val="right"/>
        <w:textAlignment w:val="auto"/>
        <w:rPr>
          <w:rFonts w:hint="eastAsia" w:cs="KAPJJC+ËÎÌå" w:asciiTheme="minorEastAsia" w:hAnsiTheme="minorEastAsia" w:eastAsiaTheme="minorEastAsia"/>
          <w:sz w:val="24"/>
        </w:rPr>
      </w:pPr>
      <w:r>
        <w:rPr>
          <w:rFonts w:hint="eastAsia" w:cs="KAPJJC+ËÎÌå" w:asciiTheme="minorEastAsia" w:hAnsiTheme="minorEastAsia" w:eastAsiaTheme="minorEastAsia"/>
          <w:sz w:val="24"/>
        </w:rPr>
        <w:t>山东步长制药股份有限公司董事会</w:t>
      </w:r>
    </w:p>
    <w:p w14:paraId="1F1D6614">
      <w:pPr>
        <w:keepNext w:val="0"/>
        <w:keepLines w:val="0"/>
        <w:pageBreakBefore w:val="0"/>
        <w:widowControl w:val="0"/>
        <w:pBdr>
          <w:right w:val="none" w:color="000000" w:sz="0" w:space="7"/>
        </w:pBdr>
        <w:kinsoku/>
        <w:wordWrap/>
        <w:overflowPunct/>
        <w:topLinePunct w:val="0"/>
        <w:autoSpaceDE w:val="0"/>
        <w:autoSpaceDN w:val="0"/>
        <w:bidi w:val="0"/>
        <w:adjustRightInd/>
        <w:snapToGrid/>
        <w:spacing w:line="360" w:lineRule="auto"/>
        <w:ind w:firstLine="0" w:firstLineChars="0"/>
        <w:jc w:val="right"/>
        <w:textAlignment w:val="auto"/>
        <w:rPr>
          <w:rFonts w:asciiTheme="minorEastAsia" w:hAnsiTheme="minorEastAsia" w:eastAsiaTheme="minorEastAsia"/>
          <w:kern w:val="24"/>
          <w:sz w:val="24"/>
          <w:szCs w:val="24"/>
        </w:rPr>
      </w:pPr>
      <w:r>
        <w:rPr>
          <w:rFonts w:hint="eastAsia" w:cs="KAPJJC+ËÎÌå" w:asciiTheme="minorEastAsia" w:hAnsiTheme="minorEastAsia" w:eastAsiaTheme="minorEastAsia"/>
          <w:sz w:val="24"/>
        </w:rPr>
        <w:t>20</w:t>
      </w:r>
      <w:r>
        <w:rPr>
          <w:rFonts w:cs="KAPJJC+ËÎÌå" w:asciiTheme="minorEastAsia" w:hAnsiTheme="minorEastAsia" w:eastAsiaTheme="minorEastAsia"/>
          <w:sz w:val="24"/>
        </w:rPr>
        <w:t>2</w:t>
      </w:r>
      <w:r>
        <w:rPr>
          <w:rFonts w:hint="eastAsia" w:cs="KAPJJC+ËÎÌå" w:asciiTheme="minorEastAsia" w:hAnsiTheme="minorEastAsia" w:eastAsiaTheme="minorEastAsia"/>
          <w:sz w:val="24"/>
          <w:lang w:val="en-US" w:eastAsia="zh-CN"/>
        </w:rPr>
        <w:t>6</w:t>
      </w:r>
      <w:r>
        <w:rPr>
          <w:rFonts w:hint="eastAsia" w:cs="KAPJJC+ËÎÌå" w:asciiTheme="minorEastAsia" w:hAnsiTheme="minorEastAsia" w:eastAsiaTheme="minorEastAsia"/>
          <w:sz w:val="24"/>
        </w:rPr>
        <w:t>年1月</w:t>
      </w:r>
      <w:r>
        <w:rPr>
          <w:rFonts w:hint="eastAsia" w:cs="KAPJJC+ËÎÌå" w:asciiTheme="minorEastAsia" w:hAnsiTheme="minorEastAsia" w:eastAsiaTheme="minorEastAsia"/>
          <w:sz w:val="24"/>
          <w:lang w:val="en-US" w:eastAsia="zh-CN"/>
        </w:rPr>
        <w:t>23</w:t>
      </w:r>
      <w:r>
        <w:rPr>
          <w:rFonts w:hint="eastAsia" w:cs="KAPJJC+ËÎÌå" w:asciiTheme="minorEastAsia" w:hAnsiTheme="minorEastAsia" w:eastAsiaTheme="minorEastAsia"/>
          <w:sz w:val="24"/>
        </w:rPr>
        <w:t>日</w:t>
      </w:r>
    </w:p>
    <w:sectPr>
      <w:footerReference r:id="rId3" w:type="default"/>
      <w:endnotePr>
        <w:numFmt w:val="decimal"/>
      </w:endnotePr>
      <w:pgSz w:w="11906" w:h="16838"/>
      <w:pgMar w:top="1440" w:right="1701" w:bottom="1440"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APJJC+ËÎÌå">
    <w:altName w:val="Segoe Print"/>
    <w:panose1 w:val="00000000000000000000"/>
    <w:charset w:val="00"/>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9951728"/>
    </w:sdtPr>
    <w:sdtContent>
      <w:p w14:paraId="44BA415C">
        <w:pPr>
          <w:pStyle w:val="5"/>
          <w:jc w:val="center"/>
        </w:pPr>
        <w:r>
          <w:fldChar w:fldCharType="begin"/>
        </w:r>
        <w:r>
          <w:instrText xml:space="preserve">PAGE   \* MERGEFORMAT</w:instrText>
        </w:r>
        <w:r>
          <w:fldChar w:fldCharType="separate"/>
        </w:r>
        <w:r>
          <w:rPr>
            <w:lang w:val="zh-CN"/>
          </w:rPr>
          <w:t>2</w:t>
        </w:r>
        <w:r>
          <w:fldChar w:fldCharType="end"/>
        </w:r>
      </w:p>
    </w:sdtContent>
  </w:sdt>
  <w:p w14:paraId="196E5BA8">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lOTdiMzUwZGNiNTRjMjk0ODdmYTM1MmY1MTQxZTMifQ=="/>
  </w:docVars>
  <w:rsids>
    <w:rsidRoot w:val="00AC7A56"/>
    <w:rsid w:val="000000EA"/>
    <w:rsid w:val="0000667D"/>
    <w:rsid w:val="00007B42"/>
    <w:rsid w:val="00011828"/>
    <w:rsid w:val="000126A2"/>
    <w:rsid w:val="00017C9D"/>
    <w:rsid w:val="00021526"/>
    <w:rsid w:val="00021ACB"/>
    <w:rsid w:val="000251E1"/>
    <w:rsid w:val="000302D3"/>
    <w:rsid w:val="00036126"/>
    <w:rsid w:val="00036817"/>
    <w:rsid w:val="0003691A"/>
    <w:rsid w:val="00042EED"/>
    <w:rsid w:val="00047626"/>
    <w:rsid w:val="00050620"/>
    <w:rsid w:val="00056521"/>
    <w:rsid w:val="00061F27"/>
    <w:rsid w:val="000620C6"/>
    <w:rsid w:val="00067C54"/>
    <w:rsid w:val="0007049D"/>
    <w:rsid w:val="0007286A"/>
    <w:rsid w:val="000813CF"/>
    <w:rsid w:val="00082714"/>
    <w:rsid w:val="00082C69"/>
    <w:rsid w:val="00085154"/>
    <w:rsid w:val="0008654E"/>
    <w:rsid w:val="00094196"/>
    <w:rsid w:val="0009464B"/>
    <w:rsid w:val="0009504D"/>
    <w:rsid w:val="0009644C"/>
    <w:rsid w:val="000A009A"/>
    <w:rsid w:val="000A4FFB"/>
    <w:rsid w:val="000A591B"/>
    <w:rsid w:val="000A6B5F"/>
    <w:rsid w:val="000B1474"/>
    <w:rsid w:val="000B4A57"/>
    <w:rsid w:val="000B5567"/>
    <w:rsid w:val="000B6294"/>
    <w:rsid w:val="000B6BF2"/>
    <w:rsid w:val="000B74DC"/>
    <w:rsid w:val="000C21B9"/>
    <w:rsid w:val="000C23A5"/>
    <w:rsid w:val="000C247B"/>
    <w:rsid w:val="000C420D"/>
    <w:rsid w:val="000D1025"/>
    <w:rsid w:val="000D50E6"/>
    <w:rsid w:val="000D5581"/>
    <w:rsid w:val="000D738C"/>
    <w:rsid w:val="000E331F"/>
    <w:rsid w:val="000E7C8E"/>
    <w:rsid w:val="000F1C51"/>
    <w:rsid w:val="000F24AD"/>
    <w:rsid w:val="000F3B55"/>
    <w:rsid w:val="001013FE"/>
    <w:rsid w:val="00105377"/>
    <w:rsid w:val="00105E96"/>
    <w:rsid w:val="00112249"/>
    <w:rsid w:val="00116D2A"/>
    <w:rsid w:val="00131EA3"/>
    <w:rsid w:val="001354F4"/>
    <w:rsid w:val="00136819"/>
    <w:rsid w:val="0014019A"/>
    <w:rsid w:val="00147BC4"/>
    <w:rsid w:val="00154F62"/>
    <w:rsid w:val="001564CF"/>
    <w:rsid w:val="0016365D"/>
    <w:rsid w:val="00170B8A"/>
    <w:rsid w:val="001710AF"/>
    <w:rsid w:val="00171247"/>
    <w:rsid w:val="001717C4"/>
    <w:rsid w:val="001734FD"/>
    <w:rsid w:val="00176150"/>
    <w:rsid w:val="00177C40"/>
    <w:rsid w:val="00180B25"/>
    <w:rsid w:val="001830F1"/>
    <w:rsid w:val="0018310D"/>
    <w:rsid w:val="0018597A"/>
    <w:rsid w:val="00190F35"/>
    <w:rsid w:val="00194782"/>
    <w:rsid w:val="00197B2C"/>
    <w:rsid w:val="001A3667"/>
    <w:rsid w:val="001A3D2D"/>
    <w:rsid w:val="001B256E"/>
    <w:rsid w:val="001B5110"/>
    <w:rsid w:val="001B6F8D"/>
    <w:rsid w:val="001C210D"/>
    <w:rsid w:val="001C3E27"/>
    <w:rsid w:val="001C5B79"/>
    <w:rsid w:val="001C5C16"/>
    <w:rsid w:val="001C7274"/>
    <w:rsid w:val="001D201A"/>
    <w:rsid w:val="001D4C12"/>
    <w:rsid w:val="001D559B"/>
    <w:rsid w:val="001D574A"/>
    <w:rsid w:val="001D5CDD"/>
    <w:rsid w:val="001D60BC"/>
    <w:rsid w:val="001D74B9"/>
    <w:rsid w:val="001E2390"/>
    <w:rsid w:val="001E4FE9"/>
    <w:rsid w:val="001E70B4"/>
    <w:rsid w:val="001F1325"/>
    <w:rsid w:val="002003EA"/>
    <w:rsid w:val="00203A6E"/>
    <w:rsid w:val="002041B5"/>
    <w:rsid w:val="00205FD7"/>
    <w:rsid w:val="0021400C"/>
    <w:rsid w:val="002171DF"/>
    <w:rsid w:val="002206C3"/>
    <w:rsid w:val="00223576"/>
    <w:rsid w:val="002278D6"/>
    <w:rsid w:val="0023035B"/>
    <w:rsid w:val="00233E3F"/>
    <w:rsid w:val="00240B13"/>
    <w:rsid w:val="00241C2B"/>
    <w:rsid w:val="00243AE4"/>
    <w:rsid w:val="002448BD"/>
    <w:rsid w:val="00250EF2"/>
    <w:rsid w:val="00253B58"/>
    <w:rsid w:val="002542A2"/>
    <w:rsid w:val="002551EA"/>
    <w:rsid w:val="00262E32"/>
    <w:rsid w:val="002637E8"/>
    <w:rsid w:val="00263CBC"/>
    <w:rsid w:val="002641C0"/>
    <w:rsid w:val="00267E64"/>
    <w:rsid w:val="0027022A"/>
    <w:rsid w:val="00282DF2"/>
    <w:rsid w:val="002842C9"/>
    <w:rsid w:val="00294862"/>
    <w:rsid w:val="002B2F18"/>
    <w:rsid w:val="002B3B5C"/>
    <w:rsid w:val="002C0932"/>
    <w:rsid w:val="002C1640"/>
    <w:rsid w:val="002C23F0"/>
    <w:rsid w:val="002C381C"/>
    <w:rsid w:val="002C41AA"/>
    <w:rsid w:val="002C5796"/>
    <w:rsid w:val="002C5A80"/>
    <w:rsid w:val="002D0378"/>
    <w:rsid w:val="002D2871"/>
    <w:rsid w:val="002D47C7"/>
    <w:rsid w:val="002D509B"/>
    <w:rsid w:val="002E0C18"/>
    <w:rsid w:val="002E1A2D"/>
    <w:rsid w:val="002E2EC8"/>
    <w:rsid w:val="002E6057"/>
    <w:rsid w:val="002E71FD"/>
    <w:rsid w:val="002F6E75"/>
    <w:rsid w:val="00300275"/>
    <w:rsid w:val="00301560"/>
    <w:rsid w:val="00301FA9"/>
    <w:rsid w:val="0031127D"/>
    <w:rsid w:val="003115B9"/>
    <w:rsid w:val="003139C2"/>
    <w:rsid w:val="00317AC0"/>
    <w:rsid w:val="00321773"/>
    <w:rsid w:val="00323800"/>
    <w:rsid w:val="003279A5"/>
    <w:rsid w:val="00330C38"/>
    <w:rsid w:val="0033784C"/>
    <w:rsid w:val="0034345B"/>
    <w:rsid w:val="00344105"/>
    <w:rsid w:val="00344CB2"/>
    <w:rsid w:val="003450F5"/>
    <w:rsid w:val="00347138"/>
    <w:rsid w:val="003604A6"/>
    <w:rsid w:val="0036209D"/>
    <w:rsid w:val="00364BDF"/>
    <w:rsid w:val="00370A2A"/>
    <w:rsid w:val="003714DA"/>
    <w:rsid w:val="0037295F"/>
    <w:rsid w:val="003733A7"/>
    <w:rsid w:val="003734B2"/>
    <w:rsid w:val="00373505"/>
    <w:rsid w:val="003811B5"/>
    <w:rsid w:val="0038288C"/>
    <w:rsid w:val="003833C0"/>
    <w:rsid w:val="00393DAE"/>
    <w:rsid w:val="003941BC"/>
    <w:rsid w:val="00395950"/>
    <w:rsid w:val="003A3A1F"/>
    <w:rsid w:val="003A4AFA"/>
    <w:rsid w:val="003A5CFD"/>
    <w:rsid w:val="003A6F29"/>
    <w:rsid w:val="003B277E"/>
    <w:rsid w:val="003B2BF5"/>
    <w:rsid w:val="003C2B0E"/>
    <w:rsid w:val="003C65AF"/>
    <w:rsid w:val="003D1E03"/>
    <w:rsid w:val="003D44E2"/>
    <w:rsid w:val="003D5115"/>
    <w:rsid w:val="003D5419"/>
    <w:rsid w:val="003D7B25"/>
    <w:rsid w:val="003E169E"/>
    <w:rsid w:val="003E1B12"/>
    <w:rsid w:val="003E5825"/>
    <w:rsid w:val="003F0A8F"/>
    <w:rsid w:val="003F1311"/>
    <w:rsid w:val="003F153C"/>
    <w:rsid w:val="004042BA"/>
    <w:rsid w:val="00405498"/>
    <w:rsid w:val="0040744A"/>
    <w:rsid w:val="00411089"/>
    <w:rsid w:val="004140C8"/>
    <w:rsid w:val="00416C81"/>
    <w:rsid w:val="00417A35"/>
    <w:rsid w:val="0042073A"/>
    <w:rsid w:val="004266BE"/>
    <w:rsid w:val="004277A0"/>
    <w:rsid w:val="004315BE"/>
    <w:rsid w:val="00433851"/>
    <w:rsid w:val="00437582"/>
    <w:rsid w:val="004403FC"/>
    <w:rsid w:val="00441740"/>
    <w:rsid w:val="00443414"/>
    <w:rsid w:val="004451A8"/>
    <w:rsid w:val="00453672"/>
    <w:rsid w:val="00455325"/>
    <w:rsid w:val="00457F01"/>
    <w:rsid w:val="00461FB1"/>
    <w:rsid w:val="0046400F"/>
    <w:rsid w:val="00466DF0"/>
    <w:rsid w:val="00470968"/>
    <w:rsid w:val="004719C3"/>
    <w:rsid w:val="00472986"/>
    <w:rsid w:val="0047340C"/>
    <w:rsid w:val="00474651"/>
    <w:rsid w:val="004770A2"/>
    <w:rsid w:val="00481724"/>
    <w:rsid w:val="004846DF"/>
    <w:rsid w:val="00484C9E"/>
    <w:rsid w:val="00491299"/>
    <w:rsid w:val="00491614"/>
    <w:rsid w:val="00492A8C"/>
    <w:rsid w:val="004947AC"/>
    <w:rsid w:val="00495083"/>
    <w:rsid w:val="0049514B"/>
    <w:rsid w:val="004969F0"/>
    <w:rsid w:val="004A3A5C"/>
    <w:rsid w:val="004A6536"/>
    <w:rsid w:val="004B0D84"/>
    <w:rsid w:val="004B1980"/>
    <w:rsid w:val="004B4AD7"/>
    <w:rsid w:val="004B4B81"/>
    <w:rsid w:val="004B6C24"/>
    <w:rsid w:val="004B7AC4"/>
    <w:rsid w:val="004C2104"/>
    <w:rsid w:val="004C4541"/>
    <w:rsid w:val="004D176B"/>
    <w:rsid w:val="004D3625"/>
    <w:rsid w:val="004D3B19"/>
    <w:rsid w:val="004D5FEB"/>
    <w:rsid w:val="004E4734"/>
    <w:rsid w:val="004E48E7"/>
    <w:rsid w:val="004E74FC"/>
    <w:rsid w:val="004F0C11"/>
    <w:rsid w:val="004F0D80"/>
    <w:rsid w:val="004F2756"/>
    <w:rsid w:val="004F390B"/>
    <w:rsid w:val="004F7A55"/>
    <w:rsid w:val="005113C4"/>
    <w:rsid w:val="00511D1E"/>
    <w:rsid w:val="00512092"/>
    <w:rsid w:val="00513C3B"/>
    <w:rsid w:val="00513E9D"/>
    <w:rsid w:val="0051541E"/>
    <w:rsid w:val="005156FC"/>
    <w:rsid w:val="005231CF"/>
    <w:rsid w:val="00523837"/>
    <w:rsid w:val="00526E3D"/>
    <w:rsid w:val="00527F7F"/>
    <w:rsid w:val="00530106"/>
    <w:rsid w:val="0053036C"/>
    <w:rsid w:val="0053456D"/>
    <w:rsid w:val="00545CF6"/>
    <w:rsid w:val="00545F2B"/>
    <w:rsid w:val="005461A4"/>
    <w:rsid w:val="00553342"/>
    <w:rsid w:val="00553C33"/>
    <w:rsid w:val="00553D4F"/>
    <w:rsid w:val="00554729"/>
    <w:rsid w:val="0055639D"/>
    <w:rsid w:val="00560BCF"/>
    <w:rsid w:val="005629AA"/>
    <w:rsid w:val="00563889"/>
    <w:rsid w:val="00564F2D"/>
    <w:rsid w:val="005673E0"/>
    <w:rsid w:val="00570FEA"/>
    <w:rsid w:val="00576F6A"/>
    <w:rsid w:val="00584471"/>
    <w:rsid w:val="00587138"/>
    <w:rsid w:val="00597FCE"/>
    <w:rsid w:val="005A12D6"/>
    <w:rsid w:val="005A4B54"/>
    <w:rsid w:val="005A6B95"/>
    <w:rsid w:val="005B0E93"/>
    <w:rsid w:val="005B10D6"/>
    <w:rsid w:val="005B6ACC"/>
    <w:rsid w:val="005C1C70"/>
    <w:rsid w:val="005D0737"/>
    <w:rsid w:val="005D3CC9"/>
    <w:rsid w:val="005D5BFC"/>
    <w:rsid w:val="005D5DFF"/>
    <w:rsid w:val="005E3352"/>
    <w:rsid w:val="005E72B7"/>
    <w:rsid w:val="005F13A4"/>
    <w:rsid w:val="005F161A"/>
    <w:rsid w:val="005F2EF4"/>
    <w:rsid w:val="005F6721"/>
    <w:rsid w:val="005F77BB"/>
    <w:rsid w:val="006024C9"/>
    <w:rsid w:val="00612217"/>
    <w:rsid w:val="00612B53"/>
    <w:rsid w:val="00613962"/>
    <w:rsid w:val="00617195"/>
    <w:rsid w:val="00620393"/>
    <w:rsid w:val="00621263"/>
    <w:rsid w:val="006237EB"/>
    <w:rsid w:val="00625CD0"/>
    <w:rsid w:val="00625F92"/>
    <w:rsid w:val="006317C5"/>
    <w:rsid w:val="00632240"/>
    <w:rsid w:val="00633989"/>
    <w:rsid w:val="00634B5E"/>
    <w:rsid w:val="0063541C"/>
    <w:rsid w:val="00636F39"/>
    <w:rsid w:val="006372F4"/>
    <w:rsid w:val="006379AE"/>
    <w:rsid w:val="00641C67"/>
    <w:rsid w:val="00644B6B"/>
    <w:rsid w:val="00645B86"/>
    <w:rsid w:val="00646121"/>
    <w:rsid w:val="00646F4A"/>
    <w:rsid w:val="00656E72"/>
    <w:rsid w:val="00660C80"/>
    <w:rsid w:val="00660F64"/>
    <w:rsid w:val="006654E0"/>
    <w:rsid w:val="00667869"/>
    <w:rsid w:val="00667EEF"/>
    <w:rsid w:val="006705CE"/>
    <w:rsid w:val="0067222C"/>
    <w:rsid w:val="00672DA4"/>
    <w:rsid w:val="00673DE7"/>
    <w:rsid w:val="00675098"/>
    <w:rsid w:val="006751FD"/>
    <w:rsid w:val="00676A18"/>
    <w:rsid w:val="006800B8"/>
    <w:rsid w:val="006825AF"/>
    <w:rsid w:val="0068265C"/>
    <w:rsid w:val="00683789"/>
    <w:rsid w:val="0068650D"/>
    <w:rsid w:val="006908F4"/>
    <w:rsid w:val="00690F58"/>
    <w:rsid w:val="00692740"/>
    <w:rsid w:val="006954F6"/>
    <w:rsid w:val="00695D7F"/>
    <w:rsid w:val="006A114E"/>
    <w:rsid w:val="006A66AB"/>
    <w:rsid w:val="006A69FB"/>
    <w:rsid w:val="006B47FB"/>
    <w:rsid w:val="006B6ED0"/>
    <w:rsid w:val="006B7615"/>
    <w:rsid w:val="006C58C6"/>
    <w:rsid w:val="006C5B91"/>
    <w:rsid w:val="006C5D23"/>
    <w:rsid w:val="006C6382"/>
    <w:rsid w:val="006D3DEE"/>
    <w:rsid w:val="006D4C63"/>
    <w:rsid w:val="006D5C37"/>
    <w:rsid w:val="006D74D0"/>
    <w:rsid w:val="006E3028"/>
    <w:rsid w:val="006E47E8"/>
    <w:rsid w:val="006E5E26"/>
    <w:rsid w:val="006E783B"/>
    <w:rsid w:val="006F4B00"/>
    <w:rsid w:val="006F57D1"/>
    <w:rsid w:val="006F673B"/>
    <w:rsid w:val="00702846"/>
    <w:rsid w:val="007134D7"/>
    <w:rsid w:val="0071752E"/>
    <w:rsid w:val="00717EA4"/>
    <w:rsid w:val="0072153C"/>
    <w:rsid w:val="00725DAD"/>
    <w:rsid w:val="00726E04"/>
    <w:rsid w:val="007301A0"/>
    <w:rsid w:val="00734404"/>
    <w:rsid w:val="00735E8E"/>
    <w:rsid w:val="0074094A"/>
    <w:rsid w:val="0074369E"/>
    <w:rsid w:val="00753C76"/>
    <w:rsid w:val="007545E5"/>
    <w:rsid w:val="007570DA"/>
    <w:rsid w:val="00761F33"/>
    <w:rsid w:val="00765E1E"/>
    <w:rsid w:val="00766889"/>
    <w:rsid w:val="0077128A"/>
    <w:rsid w:val="00773958"/>
    <w:rsid w:val="007739E7"/>
    <w:rsid w:val="00773A93"/>
    <w:rsid w:val="0077557E"/>
    <w:rsid w:val="00775C35"/>
    <w:rsid w:val="00776114"/>
    <w:rsid w:val="00777349"/>
    <w:rsid w:val="0078062B"/>
    <w:rsid w:val="00783BE5"/>
    <w:rsid w:val="00791ADE"/>
    <w:rsid w:val="00791D5E"/>
    <w:rsid w:val="00793B57"/>
    <w:rsid w:val="00794057"/>
    <w:rsid w:val="00796B19"/>
    <w:rsid w:val="007A593C"/>
    <w:rsid w:val="007A7C30"/>
    <w:rsid w:val="007B05CC"/>
    <w:rsid w:val="007B1146"/>
    <w:rsid w:val="007B4759"/>
    <w:rsid w:val="007B5113"/>
    <w:rsid w:val="007B77A9"/>
    <w:rsid w:val="007C0093"/>
    <w:rsid w:val="007C2587"/>
    <w:rsid w:val="007C52B7"/>
    <w:rsid w:val="007C56A2"/>
    <w:rsid w:val="007C57AD"/>
    <w:rsid w:val="007C6DA4"/>
    <w:rsid w:val="007D0E86"/>
    <w:rsid w:val="007D3C28"/>
    <w:rsid w:val="007D6DD7"/>
    <w:rsid w:val="007E141C"/>
    <w:rsid w:val="007E1502"/>
    <w:rsid w:val="007E5C79"/>
    <w:rsid w:val="007E5F6B"/>
    <w:rsid w:val="007E68B9"/>
    <w:rsid w:val="007E7A79"/>
    <w:rsid w:val="007F03EC"/>
    <w:rsid w:val="007F08A2"/>
    <w:rsid w:val="007F52A2"/>
    <w:rsid w:val="007F5B01"/>
    <w:rsid w:val="00801827"/>
    <w:rsid w:val="00803BA1"/>
    <w:rsid w:val="00805AE6"/>
    <w:rsid w:val="00806BD6"/>
    <w:rsid w:val="00806FDD"/>
    <w:rsid w:val="00807471"/>
    <w:rsid w:val="00810CEF"/>
    <w:rsid w:val="00812771"/>
    <w:rsid w:val="00812BEF"/>
    <w:rsid w:val="00813871"/>
    <w:rsid w:val="0082092D"/>
    <w:rsid w:val="00820DA3"/>
    <w:rsid w:val="00831971"/>
    <w:rsid w:val="0083228A"/>
    <w:rsid w:val="00833B9B"/>
    <w:rsid w:val="0083467D"/>
    <w:rsid w:val="00836970"/>
    <w:rsid w:val="00841652"/>
    <w:rsid w:val="00842121"/>
    <w:rsid w:val="008433D8"/>
    <w:rsid w:val="00846A59"/>
    <w:rsid w:val="00856079"/>
    <w:rsid w:val="00865B5F"/>
    <w:rsid w:val="00870043"/>
    <w:rsid w:val="00873DE1"/>
    <w:rsid w:val="00881158"/>
    <w:rsid w:val="008811A3"/>
    <w:rsid w:val="00881D12"/>
    <w:rsid w:val="00881E17"/>
    <w:rsid w:val="0088318E"/>
    <w:rsid w:val="008850D3"/>
    <w:rsid w:val="00894E52"/>
    <w:rsid w:val="008A2BBA"/>
    <w:rsid w:val="008A35C7"/>
    <w:rsid w:val="008A4154"/>
    <w:rsid w:val="008A567E"/>
    <w:rsid w:val="008B04F7"/>
    <w:rsid w:val="008B114E"/>
    <w:rsid w:val="008B49AB"/>
    <w:rsid w:val="008B73D8"/>
    <w:rsid w:val="008C0CB9"/>
    <w:rsid w:val="008C59FB"/>
    <w:rsid w:val="008D20E1"/>
    <w:rsid w:val="008D42DC"/>
    <w:rsid w:val="008E0AB4"/>
    <w:rsid w:val="008E4549"/>
    <w:rsid w:val="008E5517"/>
    <w:rsid w:val="008F251D"/>
    <w:rsid w:val="008F4AB7"/>
    <w:rsid w:val="008F4E85"/>
    <w:rsid w:val="008F6AE4"/>
    <w:rsid w:val="00900E0C"/>
    <w:rsid w:val="0090236A"/>
    <w:rsid w:val="00906975"/>
    <w:rsid w:val="00912245"/>
    <w:rsid w:val="009129FE"/>
    <w:rsid w:val="009149F8"/>
    <w:rsid w:val="0091569E"/>
    <w:rsid w:val="00917EF8"/>
    <w:rsid w:val="0092148F"/>
    <w:rsid w:val="00923ECC"/>
    <w:rsid w:val="00925528"/>
    <w:rsid w:val="009264AF"/>
    <w:rsid w:val="00926722"/>
    <w:rsid w:val="009309D0"/>
    <w:rsid w:val="00935E29"/>
    <w:rsid w:val="00936959"/>
    <w:rsid w:val="00942DB0"/>
    <w:rsid w:val="0094565C"/>
    <w:rsid w:val="00953E7B"/>
    <w:rsid w:val="00954669"/>
    <w:rsid w:val="0095574C"/>
    <w:rsid w:val="00956248"/>
    <w:rsid w:val="00957E8D"/>
    <w:rsid w:val="009602F3"/>
    <w:rsid w:val="00962E12"/>
    <w:rsid w:val="00963223"/>
    <w:rsid w:val="009650A6"/>
    <w:rsid w:val="00966287"/>
    <w:rsid w:val="009710A6"/>
    <w:rsid w:val="00971589"/>
    <w:rsid w:val="00971837"/>
    <w:rsid w:val="00972932"/>
    <w:rsid w:val="00974AC6"/>
    <w:rsid w:val="0097575B"/>
    <w:rsid w:val="0097779C"/>
    <w:rsid w:val="009830FA"/>
    <w:rsid w:val="00985236"/>
    <w:rsid w:val="00985531"/>
    <w:rsid w:val="00986075"/>
    <w:rsid w:val="00987CC8"/>
    <w:rsid w:val="00991860"/>
    <w:rsid w:val="00994BF5"/>
    <w:rsid w:val="00995FDB"/>
    <w:rsid w:val="009964EA"/>
    <w:rsid w:val="009966D5"/>
    <w:rsid w:val="00996A15"/>
    <w:rsid w:val="009A1261"/>
    <w:rsid w:val="009A243B"/>
    <w:rsid w:val="009A2F26"/>
    <w:rsid w:val="009A36AA"/>
    <w:rsid w:val="009A5114"/>
    <w:rsid w:val="009A6C6D"/>
    <w:rsid w:val="009B0583"/>
    <w:rsid w:val="009B2B52"/>
    <w:rsid w:val="009B31FE"/>
    <w:rsid w:val="009B43C4"/>
    <w:rsid w:val="009C29CB"/>
    <w:rsid w:val="009C668D"/>
    <w:rsid w:val="009D3CE4"/>
    <w:rsid w:val="009D4BA7"/>
    <w:rsid w:val="009D59D9"/>
    <w:rsid w:val="009D71CC"/>
    <w:rsid w:val="009D759B"/>
    <w:rsid w:val="009E01EF"/>
    <w:rsid w:val="009E1FC4"/>
    <w:rsid w:val="009E37E8"/>
    <w:rsid w:val="009E5901"/>
    <w:rsid w:val="009E71FA"/>
    <w:rsid w:val="009F230C"/>
    <w:rsid w:val="009F539E"/>
    <w:rsid w:val="00A01677"/>
    <w:rsid w:val="00A02802"/>
    <w:rsid w:val="00A03D3C"/>
    <w:rsid w:val="00A11704"/>
    <w:rsid w:val="00A12459"/>
    <w:rsid w:val="00A12FD7"/>
    <w:rsid w:val="00A167EB"/>
    <w:rsid w:val="00A2008D"/>
    <w:rsid w:val="00A2164E"/>
    <w:rsid w:val="00A22B4E"/>
    <w:rsid w:val="00A24030"/>
    <w:rsid w:val="00A262E4"/>
    <w:rsid w:val="00A32D20"/>
    <w:rsid w:val="00A3358D"/>
    <w:rsid w:val="00A33D56"/>
    <w:rsid w:val="00A378D3"/>
    <w:rsid w:val="00A41E75"/>
    <w:rsid w:val="00A43C56"/>
    <w:rsid w:val="00A46757"/>
    <w:rsid w:val="00A4695C"/>
    <w:rsid w:val="00A46A73"/>
    <w:rsid w:val="00A50B07"/>
    <w:rsid w:val="00A50C5C"/>
    <w:rsid w:val="00A5345A"/>
    <w:rsid w:val="00A53D44"/>
    <w:rsid w:val="00A57B15"/>
    <w:rsid w:val="00A635BB"/>
    <w:rsid w:val="00A64188"/>
    <w:rsid w:val="00A71DC9"/>
    <w:rsid w:val="00A75CDE"/>
    <w:rsid w:val="00A76DE5"/>
    <w:rsid w:val="00A76F6F"/>
    <w:rsid w:val="00A77202"/>
    <w:rsid w:val="00A805C3"/>
    <w:rsid w:val="00A80987"/>
    <w:rsid w:val="00A80EE4"/>
    <w:rsid w:val="00A81BFE"/>
    <w:rsid w:val="00A8225D"/>
    <w:rsid w:val="00A8290D"/>
    <w:rsid w:val="00A83B08"/>
    <w:rsid w:val="00A8636C"/>
    <w:rsid w:val="00A87F36"/>
    <w:rsid w:val="00A902EA"/>
    <w:rsid w:val="00A90BF0"/>
    <w:rsid w:val="00A90DA1"/>
    <w:rsid w:val="00A910D9"/>
    <w:rsid w:val="00A97177"/>
    <w:rsid w:val="00AA06A2"/>
    <w:rsid w:val="00AA22DF"/>
    <w:rsid w:val="00AA39C9"/>
    <w:rsid w:val="00AA6222"/>
    <w:rsid w:val="00AA70B3"/>
    <w:rsid w:val="00AB3587"/>
    <w:rsid w:val="00AB6204"/>
    <w:rsid w:val="00AB7234"/>
    <w:rsid w:val="00AC0092"/>
    <w:rsid w:val="00AC0FAB"/>
    <w:rsid w:val="00AC2D44"/>
    <w:rsid w:val="00AC5B69"/>
    <w:rsid w:val="00AC5D96"/>
    <w:rsid w:val="00AC621D"/>
    <w:rsid w:val="00AC7A56"/>
    <w:rsid w:val="00AD1436"/>
    <w:rsid w:val="00AD1B3A"/>
    <w:rsid w:val="00AD6FFC"/>
    <w:rsid w:val="00AF063A"/>
    <w:rsid w:val="00AF3417"/>
    <w:rsid w:val="00AF39E6"/>
    <w:rsid w:val="00B011AB"/>
    <w:rsid w:val="00B02E27"/>
    <w:rsid w:val="00B05D20"/>
    <w:rsid w:val="00B062B1"/>
    <w:rsid w:val="00B15D8C"/>
    <w:rsid w:val="00B32A8F"/>
    <w:rsid w:val="00B348C0"/>
    <w:rsid w:val="00B404D8"/>
    <w:rsid w:val="00B50EC3"/>
    <w:rsid w:val="00B51025"/>
    <w:rsid w:val="00B516D5"/>
    <w:rsid w:val="00B544A0"/>
    <w:rsid w:val="00B5482D"/>
    <w:rsid w:val="00B6004A"/>
    <w:rsid w:val="00B61D4B"/>
    <w:rsid w:val="00B62131"/>
    <w:rsid w:val="00B62415"/>
    <w:rsid w:val="00B64718"/>
    <w:rsid w:val="00B67917"/>
    <w:rsid w:val="00B7767B"/>
    <w:rsid w:val="00B80255"/>
    <w:rsid w:val="00B82702"/>
    <w:rsid w:val="00B85C95"/>
    <w:rsid w:val="00B9149E"/>
    <w:rsid w:val="00B96485"/>
    <w:rsid w:val="00BA37F2"/>
    <w:rsid w:val="00BA4521"/>
    <w:rsid w:val="00BA4F7A"/>
    <w:rsid w:val="00BA5987"/>
    <w:rsid w:val="00BA767C"/>
    <w:rsid w:val="00BB09FE"/>
    <w:rsid w:val="00BB2D53"/>
    <w:rsid w:val="00BB7576"/>
    <w:rsid w:val="00BC0386"/>
    <w:rsid w:val="00BC1601"/>
    <w:rsid w:val="00BC583D"/>
    <w:rsid w:val="00BC5FDE"/>
    <w:rsid w:val="00BD65F9"/>
    <w:rsid w:val="00BD7E4C"/>
    <w:rsid w:val="00BE33C0"/>
    <w:rsid w:val="00BF0D4C"/>
    <w:rsid w:val="00BF3149"/>
    <w:rsid w:val="00BF620F"/>
    <w:rsid w:val="00BF6BD8"/>
    <w:rsid w:val="00BF74B9"/>
    <w:rsid w:val="00BF7D2E"/>
    <w:rsid w:val="00C0084D"/>
    <w:rsid w:val="00C018D3"/>
    <w:rsid w:val="00C061CD"/>
    <w:rsid w:val="00C10B17"/>
    <w:rsid w:val="00C2175F"/>
    <w:rsid w:val="00C24F4C"/>
    <w:rsid w:val="00C250FE"/>
    <w:rsid w:val="00C2684A"/>
    <w:rsid w:val="00C314B1"/>
    <w:rsid w:val="00C333E9"/>
    <w:rsid w:val="00C345AB"/>
    <w:rsid w:val="00C34903"/>
    <w:rsid w:val="00C353E1"/>
    <w:rsid w:val="00C37F1A"/>
    <w:rsid w:val="00C41E92"/>
    <w:rsid w:val="00C459A8"/>
    <w:rsid w:val="00C4633A"/>
    <w:rsid w:val="00C467DD"/>
    <w:rsid w:val="00C5075D"/>
    <w:rsid w:val="00C531E5"/>
    <w:rsid w:val="00C5464E"/>
    <w:rsid w:val="00C55BAF"/>
    <w:rsid w:val="00C5781A"/>
    <w:rsid w:val="00C60319"/>
    <w:rsid w:val="00C6043C"/>
    <w:rsid w:val="00C61050"/>
    <w:rsid w:val="00C6113E"/>
    <w:rsid w:val="00C64988"/>
    <w:rsid w:val="00C67CA1"/>
    <w:rsid w:val="00C728D4"/>
    <w:rsid w:val="00C738AA"/>
    <w:rsid w:val="00C73C2D"/>
    <w:rsid w:val="00C75A20"/>
    <w:rsid w:val="00C80DF5"/>
    <w:rsid w:val="00C90290"/>
    <w:rsid w:val="00C90DE5"/>
    <w:rsid w:val="00C9184C"/>
    <w:rsid w:val="00C91AF5"/>
    <w:rsid w:val="00C92E37"/>
    <w:rsid w:val="00C9415E"/>
    <w:rsid w:val="00C9469C"/>
    <w:rsid w:val="00CA1856"/>
    <w:rsid w:val="00CA3FD8"/>
    <w:rsid w:val="00CB28BD"/>
    <w:rsid w:val="00CB4CDD"/>
    <w:rsid w:val="00CC15DC"/>
    <w:rsid w:val="00CC5065"/>
    <w:rsid w:val="00CD1371"/>
    <w:rsid w:val="00CD2B0F"/>
    <w:rsid w:val="00CD3223"/>
    <w:rsid w:val="00CD6251"/>
    <w:rsid w:val="00CE11A7"/>
    <w:rsid w:val="00CE1C40"/>
    <w:rsid w:val="00CE212A"/>
    <w:rsid w:val="00CE3C86"/>
    <w:rsid w:val="00CE4745"/>
    <w:rsid w:val="00CE55B9"/>
    <w:rsid w:val="00CE7785"/>
    <w:rsid w:val="00CF08AA"/>
    <w:rsid w:val="00CF427D"/>
    <w:rsid w:val="00D00017"/>
    <w:rsid w:val="00D00374"/>
    <w:rsid w:val="00D009BE"/>
    <w:rsid w:val="00D02240"/>
    <w:rsid w:val="00D025FD"/>
    <w:rsid w:val="00D05176"/>
    <w:rsid w:val="00D10716"/>
    <w:rsid w:val="00D11A84"/>
    <w:rsid w:val="00D12913"/>
    <w:rsid w:val="00D12BF7"/>
    <w:rsid w:val="00D16A84"/>
    <w:rsid w:val="00D222B0"/>
    <w:rsid w:val="00D31F42"/>
    <w:rsid w:val="00D31F78"/>
    <w:rsid w:val="00D42E3F"/>
    <w:rsid w:val="00D43E62"/>
    <w:rsid w:val="00D4542C"/>
    <w:rsid w:val="00D509D1"/>
    <w:rsid w:val="00D50A15"/>
    <w:rsid w:val="00D64CBA"/>
    <w:rsid w:val="00D66100"/>
    <w:rsid w:val="00D6635F"/>
    <w:rsid w:val="00D7210B"/>
    <w:rsid w:val="00D7323F"/>
    <w:rsid w:val="00D7474E"/>
    <w:rsid w:val="00D77129"/>
    <w:rsid w:val="00D82BE3"/>
    <w:rsid w:val="00D91472"/>
    <w:rsid w:val="00D92DAE"/>
    <w:rsid w:val="00D9678E"/>
    <w:rsid w:val="00D9775F"/>
    <w:rsid w:val="00DB7BCB"/>
    <w:rsid w:val="00DC0110"/>
    <w:rsid w:val="00DC28D7"/>
    <w:rsid w:val="00DC5AC0"/>
    <w:rsid w:val="00DD77F7"/>
    <w:rsid w:val="00DD7DCC"/>
    <w:rsid w:val="00DE3426"/>
    <w:rsid w:val="00DE6B0B"/>
    <w:rsid w:val="00DF3179"/>
    <w:rsid w:val="00E02F45"/>
    <w:rsid w:val="00E06881"/>
    <w:rsid w:val="00E07E65"/>
    <w:rsid w:val="00E1157A"/>
    <w:rsid w:val="00E13F8C"/>
    <w:rsid w:val="00E14135"/>
    <w:rsid w:val="00E141D9"/>
    <w:rsid w:val="00E142C4"/>
    <w:rsid w:val="00E17CA8"/>
    <w:rsid w:val="00E20311"/>
    <w:rsid w:val="00E20746"/>
    <w:rsid w:val="00E21FE9"/>
    <w:rsid w:val="00E2266C"/>
    <w:rsid w:val="00E2501E"/>
    <w:rsid w:val="00E26F78"/>
    <w:rsid w:val="00E276A9"/>
    <w:rsid w:val="00E310F8"/>
    <w:rsid w:val="00E3143F"/>
    <w:rsid w:val="00E32FAC"/>
    <w:rsid w:val="00E35BB9"/>
    <w:rsid w:val="00E36E15"/>
    <w:rsid w:val="00E4098C"/>
    <w:rsid w:val="00E450D9"/>
    <w:rsid w:val="00E460E6"/>
    <w:rsid w:val="00E54493"/>
    <w:rsid w:val="00E54DA5"/>
    <w:rsid w:val="00E5567B"/>
    <w:rsid w:val="00E5726D"/>
    <w:rsid w:val="00E63CC0"/>
    <w:rsid w:val="00E64FAE"/>
    <w:rsid w:val="00E66F85"/>
    <w:rsid w:val="00E67191"/>
    <w:rsid w:val="00E679E0"/>
    <w:rsid w:val="00E72916"/>
    <w:rsid w:val="00E73BEB"/>
    <w:rsid w:val="00E7553B"/>
    <w:rsid w:val="00E75BC3"/>
    <w:rsid w:val="00E7616D"/>
    <w:rsid w:val="00E763FD"/>
    <w:rsid w:val="00E76991"/>
    <w:rsid w:val="00E819FA"/>
    <w:rsid w:val="00E83313"/>
    <w:rsid w:val="00E86E3A"/>
    <w:rsid w:val="00E87223"/>
    <w:rsid w:val="00E91016"/>
    <w:rsid w:val="00E917CA"/>
    <w:rsid w:val="00E934AE"/>
    <w:rsid w:val="00E96F05"/>
    <w:rsid w:val="00EA0F0A"/>
    <w:rsid w:val="00EA2F8E"/>
    <w:rsid w:val="00EA3365"/>
    <w:rsid w:val="00EA56A2"/>
    <w:rsid w:val="00EA5874"/>
    <w:rsid w:val="00EA6D04"/>
    <w:rsid w:val="00EB53F5"/>
    <w:rsid w:val="00EC2793"/>
    <w:rsid w:val="00EC5341"/>
    <w:rsid w:val="00EC5876"/>
    <w:rsid w:val="00EC6697"/>
    <w:rsid w:val="00EC69F7"/>
    <w:rsid w:val="00EE1003"/>
    <w:rsid w:val="00EE4A20"/>
    <w:rsid w:val="00EE78BA"/>
    <w:rsid w:val="00EF1461"/>
    <w:rsid w:val="00EF27CB"/>
    <w:rsid w:val="00EF4893"/>
    <w:rsid w:val="00EF619D"/>
    <w:rsid w:val="00F00A7E"/>
    <w:rsid w:val="00F00D04"/>
    <w:rsid w:val="00F016E8"/>
    <w:rsid w:val="00F0186C"/>
    <w:rsid w:val="00F02143"/>
    <w:rsid w:val="00F05D5C"/>
    <w:rsid w:val="00F07026"/>
    <w:rsid w:val="00F07AC4"/>
    <w:rsid w:val="00F135D7"/>
    <w:rsid w:val="00F138B3"/>
    <w:rsid w:val="00F15C51"/>
    <w:rsid w:val="00F20419"/>
    <w:rsid w:val="00F2080F"/>
    <w:rsid w:val="00F226ED"/>
    <w:rsid w:val="00F2586F"/>
    <w:rsid w:val="00F34B76"/>
    <w:rsid w:val="00F42721"/>
    <w:rsid w:val="00F43A0E"/>
    <w:rsid w:val="00F548E7"/>
    <w:rsid w:val="00F57387"/>
    <w:rsid w:val="00F60F28"/>
    <w:rsid w:val="00F632AC"/>
    <w:rsid w:val="00F64FF2"/>
    <w:rsid w:val="00F65C56"/>
    <w:rsid w:val="00F7112D"/>
    <w:rsid w:val="00F75895"/>
    <w:rsid w:val="00F810FC"/>
    <w:rsid w:val="00F816D7"/>
    <w:rsid w:val="00F83F79"/>
    <w:rsid w:val="00F85969"/>
    <w:rsid w:val="00F85F72"/>
    <w:rsid w:val="00F87036"/>
    <w:rsid w:val="00F87868"/>
    <w:rsid w:val="00F91306"/>
    <w:rsid w:val="00F9276C"/>
    <w:rsid w:val="00F9619F"/>
    <w:rsid w:val="00FB6FDE"/>
    <w:rsid w:val="00FC0759"/>
    <w:rsid w:val="00FC3A11"/>
    <w:rsid w:val="00FD378B"/>
    <w:rsid w:val="00FD4327"/>
    <w:rsid w:val="00FD5443"/>
    <w:rsid w:val="00FD59BE"/>
    <w:rsid w:val="00FD7C48"/>
    <w:rsid w:val="00FE7E9E"/>
    <w:rsid w:val="00FF1160"/>
    <w:rsid w:val="00FF2DD7"/>
    <w:rsid w:val="00FF3107"/>
    <w:rsid w:val="00FF35C8"/>
    <w:rsid w:val="02906DB9"/>
    <w:rsid w:val="03836A76"/>
    <w:rsid w:val="05F652DD"/>
    <w:rsid w:val="0CB35CD6"/>
    <w:rsid w:val="0CCC6D98"/>
    <w:rsid w:val="11A672CE"/>
    <w:rsid w:val="18122655"/>
    <w:rsid w:val="182A3E5F"/>
    <w:rsid w:val="200D799B"/>
    <w:rsid w:val="2BD650E5"/>
    <w:rsid w:val="2EA65243"/>
    <w:rsid w:val="30F85AFE"/>
    <w:rsid w:val="42275D3F"/>
    <w:rsid w:val="42BE6BA7"/>
    <w:rsid w:val="47971775"/>
    <w:rsid w:val="4F42646A"/>
    <w:rsid w:val="51167BAE"/>
    <w:rsid w:val="52E90593"/>
    <w:rsid w:val="532C1C13"/>
    <w:rsid w:val="5514402F"/>
    <w:rsid w:val="56444DCF"/>
    <w:rsid w:val="5A3E4314"/>
    <w:rsid w:val="5CBE6FEF"/>
    <w:rsid w:val="63780255"/>
    <w:rsid w:val="68295FC1"/>
    <w:rsid w:val="692E7D33"/>
    <w:rsid w:val="6A4B4544"/>
    <w:rsid w:val="6BF042D9"/>
    <w:rsid w:val="6D7512E6"/>
    <w:rsid w:val="6EA65D70"/>
    <w:rsid w:val="73D56FFD"/>
    <w:rsid w:val="746C5BB4"/>
    <w:rsid w:val="7A3A1E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宋体" w:cs="Times New Roman"/>
      <w:kern w:val="1"/>
      <w:sz w:val="21"/>
      <w:szCs w:val="22"/>
      <w:lang w:val="en-US" w:eastAsia="zh-CN" w:bidi="ar-SA"/>
    </w:rPr>
  </w:style>
  <w:style w:type="paragraph" w:styleId="2">
    <w:name w:val="heading 1"/>
    <w:basedOn w:val="1"/>
    <w:next w:val="1"/>
    <w:link w:val="15"/>
    <w:qFormat/>
    <w:uiPriority w:val="9"/>
    <w:pPr>
      <w:widowControl/>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3"/>
    <w:semiHidden/>
    <w:unhideWhenUsed/>
    <w:qFormat/>
    <w:uiPriority w:val="99"/>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semiHidden/>
    <w:unhideWhenUsed/>
    <w:qFormat/>
    <w:uiPriority w:val="99"/>
    <w:rPr>
      <w:sz w:val="21"/>
      <w:szCs w:val="21"/>
    </w:rPr>
  </w:style>
  <w:style w:type="character" w:customStyle="1" w:styleId="12">
    <w:name w:val="批注文字 字符"/>
    <w:basedOn w:val="10"/>
    <w:link w:val="3"/>
    <w:semiHidden/>
    <w:qFormat/>
    <w:uiPriority w:val="99"/>
    <w:rPr>
      <w:rFonts w:ascii="Calibri" w:hAnsi="Calibri" w:eastAsia="宋体" w:cs="Times New Roman"/>
      <w:kern w:val="1"/>
    </w:rPr>
  </w:style>
  <w:style w:type="character" w:customStyle="1" w:styleId="13">
    <w:name w:val="批注主题 字符"/>
    <w:basedOn w:val="12"/>
    <w:link w:val="7"/>
    <w:semiHidden/>
    <w:qFormat/>
    <w:uiPriority w:val="99"/>
    <w:rPr>
      <w:rFonts w:ascii="Calibri" w:hAnsi="Calibri" w:eastAsia="宋体" w:cs="Times New Roman"/>
      <w:b/>
      <w:bCs/>
      <w:kern w:val="1"/>
    </w:rPr>
  </w:style>
  <w:style w:type="character" w:customStyle="1" w:styleId="14">
    <w:name w:val="批注框文本 字符"/>
    <w:basedOn w:val="10"/>
    <w:link w:val="4"/>
    <w:semiHidden/>
    <w:qFormat/>
    <w:uiPriority w:val="99"/>
    <w:rPr>
      <w:rFonts w:ascii="Calibri" w:hAnsi="Calibri" w:eastAsia="宋体" w:cs="Times New Roman"/>
      <w:kern w:val="1"/>
      <w:sz w:val="18"/>
      <w:szCs w:val="18"/>
    </w:rPr>
  </w:style>
  <w:style w:type="character" w:customStyle="1" w:styleId="15">
    <w:name w:val="标题 1 字符"/>
    <w:basedOn w:val="10"/>
    <w:link w:val="2"/>
    <w:qFormat/>
    <w:uiPriority w:val="9"/>
    <w:rPr>
      <w:rFonts w:ascii="宋体" w:hAnsi="宋体" w:eastAsia="宋体" w:cs="宋体"/>
      <w:b/>
      <w:bCs/>
      <w:kern w:val="36"/>
      <w:sz w:val="48"/>
      <w:szCs w:val="48"/>
    </w:rPr>
  </w:style>
  <w:style w:type="character" w:customStyle="1" w:styleId="16">
    <w:name w:val="页眉 字符"/>
    <w:basedOn w:val="10"/>
    <w:link w:val="6"/>
    <w:qFormat/>
    <w:uiPriority w:val="99"/>
    <w:rPr>
      <w:rFonts w:ascii="Calibri" w:hAnsi="Calibri" w:eastAsia="宋体" w:cs="Times New Roman"/>
      <w:kern w:val="1"/>
      <w:sz w:val="18"/>
      <w:szCs w:val="18"/>
    </w:rPr>
  </w:style>
  <w:style w:type="character" w:customStyle="1" w:styleId="17">
    <w:name w:val="页脚 字符"/>
    <w:basedOn w:val="10"/>
    <w:link w:val="5"/>
    <w:qFormat/>
    <w:uiPriority w:val="99"/>
    <w:rPr>
      <w:rFonts w:ascii="Calibri" w:hAnsi="Calibri" w:eastAsia="宋体" w:cs="Times New Roman"/>
      <w:kern w:val="1"/>
      <w:sz w:val="18"/>
      <w:szCs w:val="18"/>
    </w:rPr>
  </w:style>
  <w:style w:type="paragraph" w:styleId="18">
    <w:name w:val="No Spacing"/>
    <w:qFormat/>
    <w:uiPriority w:val="1"/>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宋体" w:cs="Times New Roman"/>
      <w:kern w:val="1"/>
      <w:sz w:val="21"/>
      <w:szCs w:val="22"/>
      <w:lang w:val="en-US" w:eastAsia="zh-CN" w:bidi="ar-SA"/>
    </w:rPr>
  </w:style>
  <w:style w:type="character" w:customStyle="1" w:styleId="19">
    <w:name w:val="apple-converted-space"/>
    <w:basedOn w:val="10"/>
    <w:qFormat/>
    <w:uiPriority w:val="0"/>
  </w:style>
  <w:style w:type="paragraph" w:styleId="20">
    <w:name w:val="List Paragraph"/>
    <w:basedOn w:val="1"/>
    <w:qFormat/>
    <w:uiPriority w:val="34"/>
    <w:pPr>
      <w:ind w:firstLine="420" w:firstLineChars="200"/>
    </w:pPr>
  </w:style>
  <w:style w:type="character" w:customStyle="1" w:styleId="21">
    <w:name w:val="fontstyle01"/>
    <w:basedOn w:val="10"/>
    <w:qFormat/>
    <w:uiPriority w:val="0"/>
    <w:rPr>
      <w:rFonts w:hint="eastAsia" w:ascii="宋体" w:hAnsi="宋体" w:eastAsia="宋体"/>
      <w:color w:val="000000"/>
      <w:sz w:val="24"/>
      <w:szCs w:val="24"/>
    </w:rPr>
  </w:style>
  <w:style w:type="character" w:customStyle="1" w:styleId="22">
    <w:name w:val="fontstyle21"/>
    <w:basedOn w:val="10"/>
    <w:qFormat/>
    <w:uiPriority w:val="0"/>
    <w:rPr>
      <w:rFonts w:hint="default" w:ascii="Times New Roman" w:hAnsi="Times New Roman" w:cs="Times New Roman"/>
      <w:color w:val="000000"/>
      <w:sz w:val="24"/>
      <w:szCs w:val="24"/>
    </w:rPr>
  </w:style>
  <w:style w:type="character" w:customStyle="1" w:styleId="23">
    <w:name w:val="zx-detail-expand-text"/>
    <w:basedOn w:val="10"/>
    <w:qFormat/>
    <w:uiPriority w:val="0"/>
  </w:style>
  <w:style w:type="table" w:customStyle="1" w:styleId="24">
    <w:name w:val="网格型1"/>
    <w:basedOn w:val="8"/>
    <w:qFormat/>
    <w:uiPriority w:val="59"/>
    <w:rPr>
      <w:rFonts w:ascii="Arial" w:hAnsi="Arial" w:eastAsia="楷体_GB2312" w:cs="仿宋_GB2312"/>
      <w:color w:val="000000"/>
      <w:kern w:val="2"/>
      <w:sz w:val="24"/>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AEE9F-1603-4457-BF86-4017D9CD794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867</Words>
  <Characters>1158</Characters>
  <Lines>8</Lines>
  <Paragraphs>2</Paragraphs>
  <TotalTime>7</TotalTime>
  <ScaleCrop>false</ScaleCrop>
  <LinksUpToDate>false</LinksUpToDate>
  <CharactersWithSpaces>1176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2023-11-30T06:16:00Z</dcterms:created>
  <dc:creator>infaith Mancy</dc:creator>
  <cp:lastModifiedBy>Nanrui</cp:lastModifiedBy>
  <cp:lastPrinted>2021-01-08T06:06:00Z</cp:lastPrinted>
  <dcterms:modified xsi:type="dcterms:W3CDTF">2026-01-22T06:31:37Z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23CDEFFDFE8448DB90A5B13A857CC478_13</vt:lpwstr>
  </property>
  <property fmtid="{D5CDD505-2E9C-101B-9397-08002B2CF9AE}" pid="4" name="KSOTemplateDocerSaveRecord">
    <vt:lpwstr>eyJoZGlkIjoiNTU4MGVkYmY3MGY1MDFjZGE2Mjc2ZTUyMDY5ZDJiNTkiLCJ1c2VySWQiOiI0MjMzMDA0MTkifQ==</vt:lpwstr>
  </property>
</Properties>
</file>