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6E44">
      <w:pPr>
        <w:jc w:val="left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 w:eastAsiaTheme="minorEastAsia"/>
          <w:sz w:val="24"/>
          <w:szCs w:val="24"/>
        </w:rPr>
        <w:t>证券代码：603858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证券简称：</w:t>
      </w:r>
      <w:r>
        <w:rPr>
          <w:rFonts w:hint="eastAsia" w:asciiTheme="minorEastAsia" w:hAnsiTheme="minorEastAsia" w:eastAsiaTheme="minorEastAsia"/>
          <w:sz w:val="24"/>
          <w:szCs w:val="24"/>
        </w:rPr>
        <w:t>步长</w:t>
      </w:r>
      <w:r>
        <w:rPr>
          <w:rFonts w:asciiTheme="minorEastAsia" w:hAnsiTheme="minorEastAsia" w:eastAsiaTheme="minorEastAsia"/>
          <w:sz w:val="24"/>
          <w:szCs w:val="24"/>
        </w:rPr>
        <w:t>制药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</w:t>
      </w:r>
      <w:r>
        <w:rPr>
          <w:rFonts w:asciiTheme="minorEastAsia" w:hAnsiTheme="minorEastAsia" w:eastAsiaTheme="minorEastAsia"/>
          <w:sz w:val="24"/>
          <w:szCs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</w:t>
      </w:r>
      <w:r>
        <w:rPr>
          <w:rFonts w:asciiTheme="minorEastAsia" w:hAnsiTheme="minorEastAsia" w:eastAsiaTheme="minorEastAsia"/>
          <w:sz w:val="24"/>
          <w:szCs w:val="24"/>
        </w:rPr>
        <w:t>公告编号：</w:t>
      </w:r>
      <w:r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2025-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210</w:t>
      </w:r>
    </w:p>
    <w:p w14:paraId="60C126A3">
      <w:pPr>
        <w:spacing w:line="360" w:lineRule="auto"/>
        <w:ind w:firstLine="723"/>
        <w:jc w:val="center"/>
        <w:rPr>
          <w:rFonts w:asciiTheme="minorEastAsia" w:hAnsiTheme="minorEastAsia" w:eastAsiaTheme="minorEastAsia"/>
          <w:b/>
          <w:color w:val="FF0000"/>
          <w:sz w:val="36"/>
          <w:szCs w:val="36"/>
        </w:rPr>
      </w:pPr>
    </w:p>
    <w:p w14:paraId="5DF4BF18">
      <w:pPr>
        <w:spacing w:before="120" w:beforeLines="50" w:after="120" w:afterLines="50" w:line="300" w:lineRule="auto"/>
        <w:jc w:val="center"/>
        <w:rPr>
          <w:rFonts w:asciiTheme="majorEastAsia" w:hAnsiTheme="majorEastAsia" w:eastAsiaTheme="majorEastAsia"/>
          <w:b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山东步长制药股份有限公司</w:t>
      </w:r>
    </w:p>
    <w:p w14:paraId="651704F8">
      <w:pPr>
        <w:spacing w:before="120" w:beforeLines="50" w:after="120" w:afterLines="50" w:line="300" w:lineRule="auto"/>
        <w:jc w:val="center"/>
        <w:rPr>
          <w:rFonts w:asciiTheme="majorEastAsia" w:hAnsiTheme="majorEastAsia" w:eastAsiaTheme="majorEastAsia"/>
          <w:b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FF0000"/>
          <w:sz w:val="36"/>
          <w:szCs w:val="36"/>
        </w:rPr>
        <w:t>关于控股股东股份质押的公告</w:t>
      </w:r>
    </w:p>
    <w:p w14:paraId="14B5C193">
      <w:pPr>
        <w:pBdr>
          <w:top w:val="single" w:color="000000" w:sz="4" w:space="1"/>
          <w:left w:val="single" w:color="000000" w:sz="4" w:space="4"/>
          <w:bottom w:val="single" w:color="000000" w:sz="4" w:space="9"/>
          <w:right w:val="single" w:color="000000" w:sz="4" w:space="4"/>
        </w:pBdr>
        <w:spacing w:line="520" w:lineRule="exact"/>
        <w:ind w:left="360" w:firstLine="48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14:paraId="684499E9">
      <w:pPr>
        <w:pStyle w:val="18"/>
        <w:pBdr>
          <w:bottom w:val="none" w:color="000000" w:sz="0" w:space="1"/>
        </w:pBdr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</w:p>
    <w:p w14:paraId="7868965B">
      <w:pPr>
        <w:pStyle w:val="18"/>
        <w:pBdr>
          <w:bottom w:val="none" w:color="000000" w:sz="0" w:space="1"/>
        </w:pBdr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重要内容提示：</w:t>
      </w:r>
    </w:p>
    <w:p w14:paraId="3D4FA39F">
      <w:pPr>
        <w:pStyle w:val="18"/>
        <w:numPr>
          <w:ilvl w:val="0"/>
          <w:numId w:val="1"/>
        </w:numPr>
        <w:pBdr>
          <w:bottom w:val="none" w:color="000000" w:sz="0" w:space="1"/>
        </w:pBdr>
        <w:spacing w:before="120" w:beforeLines="50" w:after="120" w:afterLines="50"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公司控股股东步长</w:t>
      </w:r>
      <w:r>
        <w:rPr>
          <w:rFonts w:hint="eastAsia" w:asciiTheme="minorEastAsia" w:hAnsiTheme="minorEastAsia" w:eastAsiaTheme="minorEastAsia"/>
          <w:sz w:val="24"/>
          <w:szCs w:val="24"/>
        </w:rPr>
        <w:t>（香港）持有本</w:t>
      </w:r>
      <w:r>
        <w:rPr>
          <w:rFonts w:asciiTheme="minorEastAsia" w:hAnsiTheme="minorEastAsia" w:eastAsiaTheme="minorEastAsia"/>
          <w:sz w:val="24"/>
          <w:szCs w:val="24"/>
        </w:rPr>
        <w:t>公司股份</w:t>
      </w:r>
      <w:r>
        <w:rPr>
          <w:rFonts w:hint="eastAsia" w:asciiTheme="minorEastAsia" w:hAnsiTheme="minorEastAsia" w:eastAsiaTheme="minorEastAsia"/>
          <w:sz w:val="24"/>
          <w:szCs w:val="24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>90,957,202股，占公司总股本</w:t>
      </w:r>
      <w:r>
        <w:rPr>
          <w:rFonts w:hint="eastAsia" w:asciiTheme="minorEastAsia" w:hAnsiTheme="minorEastAsia" w:eastAsiaTheme="minorEastAsia"/>
          <w:sz w:val="24"/>
          <w:szCs w:val="24"/>
        </w:rPr>
        <w:t>的</w:t>
      </w:r>
      <w:r>
        <w:rPr>
          <w:rFonts w:asciiTheme="minorEastAsia" w:hAnsiTheme="minorEastAsia" w:eastAsiaTheme="minorEastAsia"/>
          <w:sz w:val="24"/>
          <w:szCs w:val="24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56</w:t>
      </w:r>
      <w:r>
        <w:rPr>
          <w:rFonts w:asciiTheme="minorEastAsia" w:hAnsiTheme="minorEastAsia" w:eastAsiaTheme="minorEastAsia"/>
          <w:sz w:val="24"/>
          <w:szCs w:val="24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</w:rPr>
        <w:t>，步长（香港）累计质押本公司股份</w:t>
      </w:r>
      <w:r>
        <w:rPr>
          <w:rFonts w:asciiTheme="minorEastAsia" w:hAnsiTheme="minorEastAsia" w:eastAsiaTheme="minorEastAsia"/>
          <w:sz w:val="24"/>
          <w:szCs w:val="24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</w:t>
      </w:r>
      <w:r>
        <w:rPr>
          <w:rFonts w:asciiTheme="minorEastAsia" w:hAnsiTheme="minorEastAsia" w:eastAsiaTheme="minorEastAsia"/>
          <w:sz w:val="24"/>
          <w:szCs w:val="24"/>
        </w:rPr>
        <w:t>,930,000</w:t>
      </w:r>
      <w:r>
        <w:rPr>
          <w:rFonts w:hint="eastAsia" w:asciiTheme="minorEastAsia" w:hAnsiTheme="minorEastAsia" w:eastAsiaTheme="minorEastAsia"/>
          <w:sz w:val="24"/>
          <w:szCs w:val="24"/>
        </w:rPr>
        <w:t>股（含本次），占其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所</w:t>
      </w:r>
      <w:r>
        <w:rPr>
          <w:rFonts w:hint="eastAsia" w:asciiTheme="minorEastAsia" w:hAnsiTheme="minorEastAsia" w:eastAsiaTheme="minorEastAsia"/>
          <w:sz w:val="24"/>
          <w:szCs w:val="24"/>
        </w:rPr>
        <w:t>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/>
          <w:sz w:val="24"/>
          <w:szCs w:val="24"/>
        </w:rPr>
        <w:t>股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份总数</w:t>
      </w:r>
      <w:r>
        <w:rPr>
          <w:rFonts w:hint="eastAsia" w:asciiTheme="minorEastAsia" w:hAnsiTheme="minorEastAsia" w:eastAsiaTheme="minorEastAsia"/>
          <w:sz w:val="24"/>
          <w:szCs w:val="24"/>
        </w:rPr>
        <w:t>的</w:t>
      </w:r>
      <w:r>
        <w:rPr>
          <w:rFonts w:asciiTheme="minorEastAsia" w:hAnsiTheme="minorEastAsia" w:eastAsiaTheme="minorEastAsia"/>
          <w:sz w:val="24"/>
          <w:szCs w:val="24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56</w:t>
      </w:r>
      <w:r>
        <w:rPr>
          <w:rFonts w:asciiTheme="minorEastAsia" w:hAnsiTheme="minorEastAsia" w:eastAsiaTheme="minorEastAsia"/>
          <w:sz w:val="24"/>
          <w:szCs w:val="24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占公司总股本的9.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57</w:t>
      </w:r>
      <w:r>
        <w:rPr>
          <w:rFonts w:asciiTheme="minorEastAsia" w:hAnsiTheme="minorEastAsia" w:eastAsiaTheme="minorEastAsia"/>
          <w:sz w:val="24"/>
          <w:szCs w:val="24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2A3513">
      <w:pPr>
        <w:pStyle w:val="18"/>
        <w:numPr>
          <w:ilvl w:val="0"/>
          <w:numId w:val="1"/>
        </w:numPr>
        <w:pBdr>
          <w:bottom w:val="none" w:color="000000" w:sz="0" w:space="1"/>
        </w:pBdr>
        <w:spacing w:before="120" w:beforeLines="50" w:after="120" w:afterLines="50"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公司控股股东步长</w:t>
      </w:r>
      <w:r>
        <w:rPr>
          <w:rFonts w:hint="eastAsia" w:asciiTheme="minorEastAsia" w:hAnsiTheme="minorEastAsia" w:eastAsiaTheme="minorEastAsia"/>
          <w:sz w:val="24"/>
          <w:szCs w:val="24"/>
        </w:rPr>
        <w:t>（香港）及其一致行动人首诚国际（香港）有限公司、西藏丹红企业管理有限公司、西藏瑞兴投资咨询有限公司、西藏广发投资咨询有限公司、西藏华联商务信息咨询有限公司</w:t>
      </w:r>
      <w:r>
        <w:rPr>
          <w:rFonts w:asciiTheme="minorEastAsia" w:hAnsiTheme="minorEastAsia" w:eastAsiaTheme="minorEastAsia"/>
          <w:sz w:val="24"/>
          <w:szCs w:val="24"/>
        </w:rPr>
        <w:t>合计持有</w:t>
      </w:r>
      <w:r>
        <w:rPr>
          <w:rFonts w:hint="eastAsia" w:asciiTheme="minorEastAsia" w:hAnsiTheme="minorEastAsia" w:eastAsiaTheme="minorEastAsia"/>
          <w:sz w:val="24"/>
          <w:szCs w:val="24"/>
        </w:rPr>
        <w:t>本</w:t>
      </w:r>
      <w:r>
        <w:rPr>
          <w:rFonts w:asciiTheme="minorEastAsia" w:hAnsiTheme="minorEastAsia" w:eastAsiaTheme="minorEastAsia"/>
          <w:sz w:val="24"/>
          <w:szCs w:val="24"/>
        </w:rPr>
        <w:t>公司股份598,200,660股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占公司总股本的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56.72</w:t>
      </w:r>
      <w:r>
        <w:rPr>
          <w:rFonts w:hint="eastAsia" w:asciiTheme="minorEastAsia" w:hAnsiTheme="minorEastAsia" w:eastAsiaTheme="minorEastAsia"/>
          <w:sz w:val="24"/>
          <w:szCs w:val="24"/>
        </w:rPr>
        <w:t>%；其中累计质押本公司股份</w:t>
      </w:r>
      <w:r>
        <w:rPr>
          <w:rFonts w:asciiTheme="minorEastAsia" w:hAnsiTheme="minorEastAsia" w:eastAsiaTheme="minorEastAsia"/>
          <w:sz w:val="24"/>
          <w:szCs w:val="24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0</w:t>
      </w:r>
      <w:r>
        <w:rPr>
          <w:rFonts w:asciiTheme="minorEastAsia" w:hAnsiTheme="minorEastAsia" w:eastAsiaTheme="minorEastAsia"/>
          <w:sz w:val="24"/>
          <w:szCs w:val="24"/>
        </w:rPr>
        <w:t>,930,000</w:t>
      </w:r>
      <w:r>
        <w:rPr>
          <w:rFonts w:hint="eastAsia" w:asciiTheme="minorEastAsia" w:hAnsiTheme="minorEastAsia" w:eastAsiaTheme="minorEastAsia"/>
          <w:sz w:val="24"/>
          <w:szCs w:val="24"/>
        </w:rPr>
        <w:t>股（含本次），占其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所</w:t>
      </w:r>
      <w:r>
        <w:rPr>
          <w:rFonts w:hint="eastAsia" w:asciiTheme="minorEastAsia" w:hAnsiTheme="minorEastAsia" w:eastAsiaTheme="minorEastAsia"/>
          <w:sz w:val="24"/>
          <w:szCs w:val="24"/>
        </w:rPr>
        <w:t>持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公司</w:t>
      </w:r>
      <w:r>
        <w:rPr>
          <w:rFonts w:hint="eastAsia" w:asciiTheme="minorEastAsia" w:hAnsiTheme="minorEastAsia" w:eastAsiaTheme="minorEastAsia"/>
          <w:sz w:val="24"/>
          <w:szCs w:val="24"/>
        </w:rPr>
        <w:t>股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份总数</w:t>
      </w:r>
      <w:r>
        <w:rPr>
          <w:rFonts w:hint="eastAsia" w:asciiTheme="minorEastAsia" w:hAnsiTheme="minorEastAsia" w:eastAsiaTheme="minorEastAsia"/>
          <w:sz w:val="24"/>
          <w:szCs w:val="24"/>
        </w:rPr>
        <w:t>的</w:t>
      </w:r>
      <w:r>
        <w:rPr>
          <w:rFonts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87</w:t>
      </w:r>
      <w:r>
        <w:rPr>
          <w:rFonts w:asciiTheme="minorEastAsia" w:hAnsiTheme="minorEastAsia" w:eastAsiaTheme="minorEastAsia"/>
          <w:sz w:val="24"/>
          <w:szCs w:val="24"/>
        </w:rPr>
        <w:t>%</w:t>
      </w:r>
      <w:bookmarkStart w:id="0" w:name="_Hlk104476190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占公司总股本的9.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57</w:t>
      </w:r>
      <w:r>
        <w:rPr>
          <w:rFonts w:asciiTheme="minorEastAsia" w:hAnsiTheme="minorEastAsia" w:eastAsiaTheme="minorEastAsia"/>
          <w:sz w:val="24"/>
          <w:szCs w:val="24"/>
        </w:rPr>
        <w:t>%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A26A055">
      <w:pPr>
        <w:pStyle w:val="18"/>
        <w:pBdr>
          <w:bottom w:val="none" w:color="000000" w:sz="0" w:space="1"/>
        </w:pBdr>
        <w:spacing w:before="120" w:beforeLines="50" w:after="120" w:afterLines="50" w:line="360" w:lineRule="auto"/>
        <w:ind w:left="900"/>
        <w:rPr>
          <w:rFonts w:asciiTheme="minorEastAsia" w:hAnsiTheme="minorEastAsia" w:eastAsiaTheme="minorEastAsia"/>
          <w:sz w:val="24"/>
          <w:szCs w:val="24"/>
        </w:rPr>
      </w:pPr>
    </w:p>
    <w:bookmarkEnd w:id="0"/>
    <w:p w14:paraId="775ABD92">
      <w:pPr>
        <w:pStyle w:val="18"/>
        <w:pBdr>
          <w:bottom w:val="none" w:color="000000" w:sz="0" w:space="1"/>
        </w:pBdr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一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、上市公司股份质押</w:t>
      </w:r>
    </w:p>
    <w:p w14:paraId="77309EAB">
      <w:pPr>
        <w:pStyle w:val="18"/>
        <w:spacing w:before="120" w:beforeLines="50" w:after="120" w:afterLines="5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山东步长制药股份有限公司</w:t>
      </w:r>
      <w:r>
        <w:rPr>
          <w:rFonts w:hint="eastAsia" w:asciiTheme="minorEastAsia" w:hAnsiTheme="minorEastAsia" w:eastAsiaTheme="minorEastAsia"/>
          <w:sz w:val="24"/>
          <w:szCs w:val="24"/>
        </w:rPr>
        <w:t>（以下简称“公司”）</w:t>
      </w:r>
      <w:r>
        <w:rPr>
          <w:rFonts w:asciiTheme="minorEastAsia" w:hAnsiTheme="minorEastAsia" w:eastAsiaTheme="minorEastAsia"/>
          <w:sz w:val="24"/>
          <w:szCs w:val="24"/>
        </w:rPr>
        <w:t>于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025年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asciiTheme="minorEastAsia" w:hAnsiTheme="minorEastAsia" w:eastAsiaTheme="minorEastAsia"/>
          <w:sz w:val="24"/>
          <w:szCs w:val="24"/>
        </w:rPr>
        <w:t>日接到通知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获悉公司控股股东步长</w:t>
      </w:r>
      <w:r>
        <w:rPr>
          <w:rFonts w:hint="eastAsia" w:asciiTheme="minorEastAsia" w:hAnsiTheme="minorEastAsia" w:eastAsiaTheme="minorEastAsia"/>
          <w:sz w:val="24"/>
          <w:szCs w:val="24"/>
        </w:rPr>
        <w:t>（香港）控股有限公司（以下简称“步长（香港）”）</w:t>
      </w:r>
      <w:r>
        <w:rPr>
          <w:rFonts w:asciiTheme="minorEastAsia" w:hAnsiTheme="minorEastAsia" w:eastAsiaTheme="minorEastAsia"/>
          <w:sz w:val="24"/>
          <w:szCs w:val="24"/>
        </w:rPr>
        <w:t>办理了股份质押手续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具体情况如下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p w14:paraId="57799D95">
      <w:pPr>
        <w:pStyle w:val="18"/>
        <w:spacing w:before="120" w:beforeLines="50" w:after="120" w:afterLines="5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1、本次股份质押基本情况</w:t>
      </w:r>
    </w:p>
    <w:tbl>
      <w:tblPr>
        <w:tblStyle w:val="9"/>
        <w:tblW w:w="6750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57"/>
        <w:gridCol w:w="1314"/>
        <w:gridCol w:w="810"/>
        <w:gridCol w:w="702"/>
        <w:gridCol w:w="1199"/>
        <w:gridCol w:w="1161"/>
        <w:gridCol w:w="1077"/>
        <w:gridCol w:w="817"/>
        <w:gridCol w:w="771"/>
        <w:gridCol w:w="1307"/>
      </w:tblGrid>
      <w:tr w14:paraId="169C51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5F4724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股东名称</w:t>
            </w:r>
          </w:p>
        </w:tc>
        <w:tc>
          <w:tcPr>
            <w:tcW w:w="463" w:type="pct"/>
            <w:vAlign w:val="center"/>
          </w:tcPr>
          <w:p w14:paraId="60C09F9F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是否为</w:t>
            </w:r>
          </w:p>
          <w:p w14:paraId="30452772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控股股东</w:t>
            </w:r>
          </w:p>
        </w:tc>
        <w:tc>
          <w:tcPr>
            <w:tcW w:w="574" w:type="pct"/>
            <w:vAlign w:val="center"/>
          </w:tcPr>
          <w:p w14:paraId="216238B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本次质押数（股）</w:t>
            </w:r>
          </w:p>
        </w:tc>
        <w:tc>
          <w:tcPr>
            <w:tcW w:w="355" w:type="pct"/>
            <w:vAlign w:val="center"/>
          </w:tcPr>
          <w:p w14:paraId="46FFD1E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是否为限售股</w:t>
            </w:r>
          </w:p>
        </w:tc>
        <w:tc>
          <w:tcPr>
            <w:tcW w:w="308" w:type="pct"/>
            <w:vAlign w:val="center"/>
          </w:tcPr>
          <w:p w14:paraId="5D33FE8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是否补充质押</w:t>
            </w:r>
          </w:p>
        </w:tc>
        <w:tc>
          <w:tcPr>
            <w:tcW w:w="524" w:type="pct"/>
            <w:vAlign w:val="center"/>
          </w:tcPr>
          <w:p w14:paraId="053E602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质押</w:t>
            </w:r>
          </w:p>
          <w:p w14:paraId="30B52A53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起始日</w:t>
            </w:r>
          </w:p>
        </w:tc>
        <w:tc>
          <w:tcPr>
            <w:tcW w:w="474" w:type="pct"/>
            <w:vAlign w:val="center"/>
          </w:tcPr>
          <w:p w14:paraId="241B4987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质押</w:t>
            </w:r>
          </w:p>
          <w:p w14:paraId="15742FD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到期日</w:t>
            </w:r>
          </w:p>
        </w:tc>
        <w:tc>
          <w:tcPr>
            <w:tcW w:w="471" w:type="pct"/>
            <w:vAlign w:val="center"/>
          </w:tcPr>
          <w:p w14:paraId="415111B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质权人</w:t>
            </w:r>
          </w:p>
        </w:tc>
        <w:tc>
          <w:tcPr>
            <w:tcW w:w="358" w:type="pct"/>
            <w:vAlign w:val="center"/>
          </w:tcPr>
          <w:p w14:paraId="74B8F71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占其所持股份比例（%）</w:t>
            </w:r>
          </w:p>
        </w:tc>
        <w:tc>
          <w:tcPr>
            <w:tcW w:w="338" w:type="pct"/>
            <w:vAlign w:val="center"/>
          </w:tcPr>
          <w:p w14:paraId="11CE686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占公司总股本比例（%）</w:t>
            </w:r>
          </w:p>
        </w:tc>
        <w:tc>
          <w:tcPr>
            <w:tcW w:w="571" w:type="pct"/>
            <w:vAlign w:val="center"/>
          </w:tcPr>
          <w:p w14:paraId="7EF6363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质押融资资金用途</w:t>
            </w:r>
          </w:p>
        </w:tc>
      </w:tr>
      <w:tr w14:paraId="094464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E66F18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步长（香港）控股有限公司</w:t>
            </w:r>
          </w:p>
        </w:tc>
        <w:tc>
          <w:tcPr>
            <w:tcW w:w="463" w:type="pct"/>
            <w:vAlign w:val="center"/>
          </w:tcPr>
          <w:p w14:paraId="08E5F65E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是</w:t>
            </w:r>
          </w:p>
        </w:tc>
        <w:tc>
          <w:tcPr>
            <w:tcW w:w="574" w:type="pct"/>
            <w:vAlign w:val="center"/>
          </w:tcPr>
          <w:p w14:paraId="23A7E6E5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 w:eastAsiaTheme="minorEastAsia"/>
                <w:szCs w:val="21"/>
              </w:rPr>
              <w:t>,000,000</w:t>
            </w:r>
          </w:p>
        </w:tc>
        <w:tc>
          <w:tcPr>
            <w:tcW w:w="355" w:type="pct"/>
            <w:vAlign w:val="center"/>
          </w:tcPr>
          <w:p w14:paraId="1CB0874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否</w:t>
            </w:r>
          </w:p>
        </w:tc>
        <w:tc>
          <w:tcPr>
            <w:tcW w:w="308" w:type="pct"/>
            <w:vAlign w:val="center"/>
          </w:tcPr>
          <w:p w14:paraId="3850415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否</w:t>
            </w:r>
          </w:p>
        </w:tc>
        <w:tc>
          <w:tcPr>
            <w:tcW w:w="524" w:type="pct"/>
            <w:vAlign w:val="center"/>
          </w:tcPr>
          <w:p w14:paraId="060B23A3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025.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11.7</w:t>
            </w:r>
          </w:p>
        </w:tc>
        <w:tc>
          <w:tcPr>
            <w:tcW w:w="474" w:type="pct"/>
            <w:vAlign w:val="center"/>
          </w:tcPr>
          <w:p w14:paraId="789AB783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hint="default" w:asciiTheme="minorEastAsia" w:hAnsiTheme="minorEastAsia" w:eastAsiaTheme="minorEastAsia"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2028.11.6</w:t>
            </w:r>
            <w:bookmarkStart w:id="3" w:name="_GoBack"/>
            <w:bookmarkEnd w:id="3"/>
          </w:p>
        </w:tc>
        <w:tc>
          <w:tcPr>
            <w:tcW w:w="471" w:type="pct"/>
            <w:vAlign w:val="center"/>
          </w:tcPr>
          <w:p w14:paraId="1074241F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中国光大银行股份有限公司济南分行</w:t>
            </w:r>
          </w:p>
        </w:tc>
        <w:tc>
          <w:tcPr>
            <w:tcW w:w="0" w:type="auto"/>
            <w:vAlign w:val="center"/>
          </w:tcPr>
          <w:p w14:paraId="42CD1A6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2.24</w:t>
            </w:r>
          </w:p>
        </w:tc>
        <w:tc>
          <w:tcPr>
            <w:tcW w:w="338" w:type="pct"/>
            <w:vAlign w:val="center"/>
          </w:tcPr>
          <w:p w14:paraId="3ADCD94D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1.04</w:t>
            </w:r>
          </w:p>
        </w:tc>
        <w:tc>
          <w:tcPr>
            <w:tcW w:w="571" w:type="pct"/>
            <w:vAlign w:val="center"/>
          </w:tcPr>
          <w:p w14:paraId="7DE8165D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kern w:val="0"/>
                <w:szCs w:val="21"/>
                <w:lang w:bidi="ar"/>
              </w:rPr>
              <w:t>经营所需</w:t>
            </w:r>
          </w:p>
        </w:tc>
      </w:tr>
    </w:tbl>
    <w:p w14:paraId="5FEEAA40">
      <w:pPr>
        <w:pStyle w:val="18"/>
        <w:spacing w:before="120" w:beforeLines="50" w:after="120" w:afterLines="5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2、本次质押股份未被用作重大资产重组、业绩补偿等事项的担保或其他保障用途。</w:t>
      </w:r>
    </w:p>
    <w:p w14:paraId="4DBFAF63">
      <w:pPr>
        <w:pStyle w:val="18"/>
        <w:spacing w:before="120" w:beforeLines="50" w:after="120" w:afterLines="5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asciiTheme="minorEastAsia" w:hAnsiTheme="minorEastAsia" w:eastAsiaTheme="minorEastAsia"/>
          <w:sz w:val="24"/>
          <w:szCs w:val="24"/>
        </w:rPr>
        <w:t>股东及其一致行动人累计质押股份情况</w:t>
      </w:r>
    </w:p>
    <w:p w14:paraId="4F1CC075">
      <w:pPr>
        <w:pStyle w:val="18"/>
        <w:spacing w:before="120" w:beforeLines="50" w:after="120" w:afterLines="50" w:line="360" w:lineRule="auto"/>
        <w:ind w:firstLine="480" w:firstLineChars="200"/>
        <w:rPr>
          <w:rFonts w:asciiTheme="minorEastAsia" w:hAnsiTheme="minorEastAsia" w:eastAsiaTheme="minorEastAsia"/>
          <w:color w:val="FF0000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截至</w:t>
      </w:r>
      <w:r>
        <w:rPr>
          <w:rFonts w:hint="eastAsia" w:asciiTheme="minorEastAsia" w:hAnsiTheme="minorEastAsia" w:eastAsiaTheme="minorEastAsia"/>
          <w:sz w:val="24"/>
          <w:szCs w:val="24"/>
        </w:rPr>
        <w:t>本</w:t>
      </w:r>
      <w:r>
        <w:rPr>
          <w:rFonts w:asciiTheme="minorEastAsia" w:hAnsiTheme="minorEastAsia" w:eastAsiaTheme="minorEastAsia"/>
          <w:sz w:val="24"/>
          <w:szCs w:val="24"/>
        </w:rPr>
        <w:t>公告披露日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asciiTheme="minorEastAsia" w:hAnsiTheme="minorEastAsia" w:eastAsiaTheme="minorEastAsia"/>
          <w:sz w:val="24"/>
          <w:szCs w:val="24"/>
        </w:rPr>
        <w:t>上述股东及其一致行动人累计质押股份情况如下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</w:p>
    <w:tbl>
      <w:tblPr>
        <w:tblStyle w:val="8"/>
        <w:tblW w:w="67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406"/>
        <w:gridCol w:w="828"/>
        <w:gridCol w:w="1353"/>
        <w:gridCol w:w="1371"/>
        <w:gridCol w:w="1146"/>
        <w:gridCol w:w="828"/>
        <w:gridCol w:w="867"/>
        <w:gridCol w:w="867"/>
        <w:gridCol w:w="868"/>
        <w:gridCol w:w="868"/>
      </w:tblGrid>
      <w:tr w14:paraId="43CE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86A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股东名称</w:t>
            </w:r>
          </w:p>
        </w:tc>
        <w:tc>
          <w:tcPr>
            <w:tcW w:w="61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98E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持股数量</w:t>
            </w:r>
          </w:p>
          <w:p w14:paraId="4D8731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（股）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E4E5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持股比例(</w:t>
            </w:r>
            <w:r>
              <w:rPr>
                <w:rFonts w:asciiTheme="minorEastAsia" w:hAnsiTheme="minorEastAsia" w:eastAsiaTheme="minorEastAsia"/>
                <w:kern w:val="2"/>
                <w:szCs w:val="21"/>
              </w:rPr>
              <w:t>%)</w:t>
            </w:r>
          </w:p>
        </w:tc>
        <w:tc>
          <w:tcPr>
            <w:tcW w:w="5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D7D9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本次质押前累计质押数量（股）</w:t>
            </w:r>
          </w:p>
        </w:tc>
        <w:tc>
          <w:tcPr>
            <w:tcW w:w="58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14F3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本次质押后累计质押数量（股）</w:t>
            </w:r>
          </w:p>
        </w:tc>
        <w:tc>
          <w:tcPr>
            <w:tcW w:w="49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AC0B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占其所持股份比例（%）</w:t>
            </w:r>
          </w:p>
        </w:tc>
        <w:tc>
          <w:tcPr>
            <w:tcW w:w="3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9DF5A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占公司总股本比例（%）</w:t>
            </w: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8F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已质押股份情况</w:t>
            </w:r>
          </w:p>
        </w:tc>
        <w:tc>
          <w:tcPr>
            <w:tcW w:w="75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C436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未质押股份情况</w:t>
            </w:r>
          </w:p>
        </w:tc>
      </w:tr>
      <w:tr w14:paraId="1734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  <w:jc w:val="center"/>
        </w:trPr>
        <w:tc>
          <w:tcPr>
            <w:tcW w:w="4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BF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61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C26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3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303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5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5C8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58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DCD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49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45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3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76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A5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已质押股份中限售股份数量</w:t>
            </w:r>
          </w:p>
          <w:p w14:paraId="46935CA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（股）</w:t>
            </w:r>
          </w:p>
        </w:tc>
        <w:tc>
          <w:tcPr>
            <w:tcW w:w="3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A2CF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已质押股份中冻结股份数量（股）</w:t>
            </w:r>
          </w:p>
        </w:tc>
        <w:tc>
          <w:tcPr>
            <w:tcW w:w="3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50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未质押股份中限售股份数量（股）</w:t>
            </w:r>
          </w:p>
        </w:tc>
        <w:tc>
          <w:tcPr>
            <w:tcW w:w="3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1E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未质押股份中冻结股份数量（股）</w:t>
            </w:r>
          </w:p>
        </w:tc>
      </w:tr>
      <w:tr w14:paraId="4EC0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0C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步长（香港）控股有限公司</w:t>
            </w:r>
          </w:p>
        </w:tc>
        <w:tc>
          <w:tcPr>
            <w:tcW w:w="6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39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kern w:val="2"/>
                <w:szCs w:val="21"/>
              </w:rPr>
              <w:t>90,957,202</w:t>
            </w:r>
          </w:p>
        </w:tc>
        <w:tc>
          <w:tcPr>
            <w:tcW w:w="3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D1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46.56</w:t>
            </w:r>
          </w:p>
        </w:tc>
        <w:tc>
          <w:tcPr>
            <w:tcW w:w="5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1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  <w:lang w:val="en-US" w:eastAsia="zh-CN"/>
              </w:rPr>
              <w:t>89</w:t>
            </w:r>
            <w:r>
              <w:rPr>
                <w:rFonts w:asciiTheme="minorEastAsia" w:hAnsiTheme="minorEastAsia" w:eastAsiaTheme="minorEastAsia"/>
                <w:kern w:val="2"/>
                <w:szCs w:val="21"/>
              </w:rPr>
              <w:t>,930,000</w:t>
            </w:r>
          </w:p>
        </w:tc>
        <w:tc>
          <w:tcPr>
            <w:tcW w:w="5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6A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szCs w:val="21"/>
              </w:rPr>
              <w:t>,930,000</w:t>
            </w:r>
          </w:p>
        </w:tc>
        <w:tc>
          <w:tcPr>
            <w:tcW w:w="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14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20.56</w:t>
            </w:r>
          </w:p>
        </w:tc>
        <w:tc>
          <w:tcPr>
            <w:tcW w:w="3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01A0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bookmarkStart w:id="1" w:name="OLE_LINK2"/>
            <w:bookmarkStart w:id="2" w:name="OLE_LINK1"/>
            <w:r>
              <w:rPr>
                <w:rFonts w:asciiTheme="minorEastAsia" w:hAnsiTheme="minorEastAsia" w:eastAsiaTheme="minorEastAsia"/>
                <w:szCs w:val="21"/>
              </w:rPr>
              <w:t>9.</w:t>
            </w:r>
            <w:bookmarkEnd w:id="1"/>
            <w:bookmarkEnd w:id="2"/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57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0A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50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B4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F2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6F7B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48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6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left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首诚国际（香港）有限公司</w:t>
            </w:r>
          </w:p>
        </w:tc>
        <w:tc>
          <w:tcPr>
            <w:tcW w:w="61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D3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8</w:t>
            </w:r>
            <w:r>
              <w:rPr>
                <w:rFonts w:asciiTheme="minorEastAsia" w:hAnsiTheme="minorEastAsia" w:eastAsiaTheme="minorEastAsia"/>
                <w:kern w:val="2"/>
                <w:szCs w:val="21"/>
              </w:rPr>
              <w:t>2,742,400</w:t>
            </w:r>
          </w:p>
        </w:tc>
        <w:tc>
          <w:tcPr>
            <w:tcW w:w="3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25E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7</w:t>
            </w:r>
            <w:r>
              <w:rPr>
                <w:rFonts w:asciiTheme="minorEastAsia" w:hAnsiTheme="minorEastAsia" w:eastAsiaTheme="minorEastAsia"/>
                <w:kern w:val="2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kern w:val="2"/>
                <w:szCs w:val="21"/>
                <w:lang w:val="en-US" w:eastAsia="zh-CN"/>
              </w:rPr>
              <w:t>85</w:t>
            </w:r>
          </w:p>
        </w:tc>
        <w:tc>
          <w:tcPr>
            <w:tcW w:w="5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F9A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58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59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49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89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6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0F7A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B43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52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298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CED5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2B919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DA17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西藏丹红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企业管理</w:t>
            </w:r>
            <w:r>
              <w:rPr>
                <w:rFonts w:asciiTheme="minorEastAsia" w:hAnsiTheme="minorEastAsia" w:eastAsiaTheme="minorEastAsia"/>
                <w:szCs w:val="21"/>
              </w:rPr>
              <w:t>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01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0,408,413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32D3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94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C2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ADC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D22B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3EE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EA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DF0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8E4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F1F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64888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B07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西藏瑞兴投资咨询有限公司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BF1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szCs w:val="21"/>
              </w:rPr>
              <w:t>,068,560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54E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EBE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C82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71EC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3574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9F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67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B48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957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39F2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8AE9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西藏广发投资咨询有限公司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59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,013,594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6ADE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0.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2A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31698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96A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FE4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B0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6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213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12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0A1F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D972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西藏华联商务信息咨询有限公司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5FD8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Cs w:val="21"/>
              </w:rPr>
              <w:t>,010,491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9700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10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9B39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ACA6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A961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A13A">
            <w:pPr>
              <w:pStyle w:val="18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20" w:beforeLines="50" w:after="120" w:afterLines="50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C70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46E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DA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19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  <w:tr w14:paraId="7BDC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7BB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合计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32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598,200,660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6D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72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23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  <w:lang w:val="en-US" w:eastAsia="zh-CN"/>
              </w:rPr>
              <w:t>89</w:t>
            </w:r>
            <w:r>
              <w:rPr>
                <w:rFonts w:asciiTheme="minorEastAsia" w:hAnsiTheme="minorEastAsia" w:eastAsiaTheme="minorEastAsia"/>
                <w:kern w:val="2"/>
                <w:szCs w:val="21"/>
              </w:rPr>
              <w:t>,930,000</w:t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9B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10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0</w:t>
            </w:r>
            <w:r>
              <w:rPr>
                <w:rFonts w:asciiTheme="minorEastAsia" w:hAnsiTheme="minorEastAsia" w:eastAsiaTheme="minorEastAsia"/>
                <w:szCs w:val="21"/>
              </w:rPr>
              <w:t>,930,000</w:t>
            </w:r>
          </w:p>
        </w:tc>
        <w:tc>
          <w:tcPr>
            <w:tcW w:w="4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D90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  <w:lang w:val="en-US" w:eastAsia="zh-CN"/>
              </w:rPr>
              <w:t>16.87</w:t>
            </w:r>
          </w:p>
        </w:tc>
        <w:tc>
          <w:tcPr>
            <w:tcW w:w="3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D9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default" w:asciiTheme="minorEastAsia" w:hAnsiTheme="minorEastAsia" w:eastAsiaTheme="minorEastAsia"/>
                <w:kern w:val="2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9.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57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C34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9C4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FD0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7C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Theme="minorEastAsia" w:hAnsiTheme="minorEastAsia" w:eastAsiaTheme="minorEastAsia"/>
                <w:kern w:val="2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2"/>
                <w:szCs w:val="21"/>
              </w:rPr>
              <w:t>0</w:t>
            </w:r>
          </w:p>
        </w:tc>
      </w:tr>
    </w:tbl>
    <w:p w14:paraId="556C7A44">
      <w:pPr>
        <w:pStyle w:val="18"/>
        <w:spacing w:before="120" w:beforeLines="50" w:after="120" w:afterLines="50"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asciiTheme="minorEastAsia" w:hAnsiTheme="minorEastAsia" w:eastAsiaTheme="minorEastAsia"/>
          <w:b/>
          <w:sz w:val="24"/>
          <w:szCs w:val="24"/>
        </w:rPr>
        <w:t>二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、</w:t>
      </w:r>
      <w:r>
        <w:rPr>
          <w:rFonts w:asciiTheme="minorEastAsia" w:hAnsiTheme="minorEastAsia" w:eastAsiaTheme="minorEastAsia"/>
          <w:b/>
          <w:sz w:val="24"/>
          <w:szCs w:val="24"/>
        </w:rPr>
        <w:t>其他说明</w:t>
      </w:r>
    </w:p>
    <w:p w14:paraId="0C4FC63B">
      <w:pPr>
        <w:pStyle w:val="18"/>
        <w:spacing w:before="120" w:beforeLines="50" w:after="120" w:afterLines="5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步长（香港）有足够的风险控制能力，具备资金偿还能力，还款资金来源包括营业收入、营业利润、投资收益等，质押风险在可控范围内，目前不存在平仓风险，如后续出现平仓风险，将采取补充质押、提前购回被质押股份等措施应对风险。</w:t>
      </w:r>
    </w:p>
    <w:p w14:paraId="3834CA21">
      <w:pPr>
        <w:pStyle w:val="18"/>
        <w:spacing w:before="120" w:beforeLines="50" w:after="120" w:afterLines="5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2、本次质押事项不会导致公司实际控制权发生变更、不会对公司生产经营和公司治理产生影响。</w:t>
      </w:r>
    </w:p>
    <w:p w14:paraId="1A372EE4">
      <w:pPr>
        <w:pStyle w:val="18"/>
        <w:spacing w:before="120" w:beforeLines="50" w:after="120" w:afterLines="50"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特此公告。</w:t>
      </w:r>
    </w:p>
    <w:p w14:paraId="2B9CD83D">
      <w:pPr>
        <w:autoSpaceDE w:val="0"/>
        <w:autoSpaceDN w:val="0"/>
        <w:spacing w:before="120" w:beforeLines="50" w:after="120" w:afterLines="50" w:line="360" w:lineRule="auto"/>
        <w:ind w:firstLine="480" w:firstLineChars="200"/>
        <w:jc w:val="right"/>
        <w:rPr>
          <w:rFonts w:cs="KAPJJC+ËÎÌå" w:asciiTheme="minorEastAsia" w:hAnsiTheme="minorEastAsia" w:eastAsiaTheme="minorEastAsia"/>
          <w:color w:val="000000"/>
          <w:sz w:val="24"/>
        </w:rPr>
      </w:pPr>
    </w:p>
    <w:p w14:paraId="7B09A302">
      <w:pPr>
        <w:autoSpaceDE w:val="0"/>
        <w:autoSpaceDN w:val="0"/>
        <w:spacing w:before="120" w:beforeLines="50" w:after="120" w:afterLines="50" w:line="360" w:lineRule="auto"/>
        <w:ind w:firstLine="480" w:firstLineChars="200"/>
        <w:jc w:val="right"/>
        <w:rPr>
          <w:rFonts w:cs="KAPJJC+ËÎÌå" w:asciiTheme="minorEastAsia" w:hAnsiTheme="minorEastAsia" w:eastAsiaTheme="minorEastAsia"/>
          <w:color w:val="000000"/>
          <w:sz w:val="24"/>
        </w:rPr>
      </w:pPr>
    </w:p>
    <w:p w14:paraId="173B89A4">
      <w:pPr>
        <w:autoSpaceDE w:val="0"/>
        <w:autoSpaceDN w:val="0"/>
        <w:spacing w:before="120" w:beforeLines="50" w:after="120" w:afterLines="50" w:line="360" w:lineRule="auto"/>
        <w:ind w:firstLine="480" w:firstLineChars="200"/>
        <w:jc w:val="right"/>
        <w:rPr>
          <w:rFonts w:cs="KAPJJC+ËÎÌå" w:asciiTheme="minorEastAsia" w:hAnsiTheme="minorEastAsia" w:eastAsiaTheme="minorEastAsia"/>
          <w:color w:val="000000"/>
          <w:sz w:val="24"/>
        </w:rPr>
      </w:pPr>
      <w:r>
        <w:rPr>
          <w:rFonts w:hint="eastAsia" w:cs="KAPJJC+ËÎÌå" w:asciiTheme="minorEastAsia" w:hAnsiTheme="minorEastAsia" w:eastAsiaTheme="minorEastAsia"/>
          <w:color w:val="000000"/>
          <w:sz w:val="24"/>
        </w:rPr>
        <w:t>山东步长制药股份有限公司董事会</w:t>
      </w:r>
    </w:p>
    <w:p w14:paraId="4E94675C">
      <w:pPr>
        <w:wordWrap w:val="0"/>
        <w:autoSpaceDE w:val="0"/>
        <w:autoSpaceDN w:val="0"/>
        <w:spacing w:before="120" w:beforeLines="50" w:after="120" w:afterLines="50" w:line="360" w:lineRule="auto"/>
        <w:ind w:right="960" w:firstLine="480" w:firstLineChars="200"/>
        <w:jc w:val="right"/>
        <w:rPr>
          <w:rFonts w:asciiTheme="minorEastAsia" w:hAnsiTheme="minorEastAsia" w:eastAsiaTheme="minorEastAsia"/>
          <w:kern w:val="24"/>
          <w:sz w:val="24"/>
          <w:szCs w:val="24"/>
        </w:rPr>
      </w:pPr>
      <w:r>
        <w:rPr>
          <w:rFonts w:hint="eastAsia" w:cs="KAPJJC+ËÎÌå" w:asciiTheme="minorEastAsia" w:hAnsiTheme="minorEastAsia" w:eastAsiaTheme="minorEastAsia"/>
          <w:color w:val="000000"/>
          <w:sz w:val="24"/>
        </w:rPr>
        <w:t>20</w:t>
      </w:r>
      <w:r>
        <w:rPr>
          <w:rFonts w:cs="KAPJJC+ËÎÌå" w:asciiTheme="minorEastAsia" w:hAnsiTheme="minorEastAsia" w:eastAsiaTheme="minorEastAsia"/>
          <w:color w:val="000000"/>
          <w:sz w:val="24"/>
        </w:rPr>
        <w:t>25</w:t>
      </w:r>
      <w:r>
        <w:rPr>
          <w:rFonts w:hint="eastAsia" w:cs="KAPJJC+ËÎÌå" w:asciiTheme="minorEastAsia" w:hAnsiTheme="minorEastAsia" w:eastAsiaTheme="minorEastAsia"/>
          <w:color w:val="000000"/>
          <w:sz w:val="24"/>
        </w:rPr>
        <w:t>年</w:t>
      </w:r>
      <w:r>
        <w:rPr>
          <w:rFonts w:hint="eastAsia" w:cs="KAPJJC+ËÎÌå" w:asciiTheme="minorEastAsia" w:hAnsiTheme="minorEastAsia" w:eastAsiaTheme="minorEastAsia"/>
          <w:color w:val="000000"/>
          <w:sz w:val="24"/>
          <w:lang w:val="en-US" w:eastAsia="zh-CN"/>
        </w:rPr>
        <w:t>11</w:t>
      </w:r>
      <w:r>
        <w:rPr>
          <w:rFonts w:hint="eastAsia" w:cs="KAPJJC+ËÎÌå" w:asciiTheme="minorEastAsia" w:hAnsiTheme="minorEastAsia" w:eastAsiaTheme="minorEastAsia"/>
          <w:color w:val="000000"/>
          <w:sz w:val="24"/>
        </w:rPr>
        <w:t>月</w:t>
      </w:r>
      <w:r>
        <w:rPr>
          <w:rFonts w:hint="eastAsia" w:cs="KAPJJC+ËÎÌå" w:asciiTheme="minorEastAsia" w:hAnsiTheme="minorEastAsia" w:eastAsiaTheme="minorEastAsia"/>
          <w:color w:val="000000"/>
          <w:sz w:val="24"/>
          <w:lang w:val="en-US" w:eastAsia="zh-CN"/>
        </w:rPr>
        <w:t>11</w:t>
      </w:r>
      <w:r>
        <w:rPr>
          <w:rFonts w:hint="eastAsia" w:cs="KAPJJC+ËÎÌå" w:asciiTheme="minorEastAsia" w:hAnsiTheme="minorEastAsia" w:eastAsiaTheme="minorEastAsia"/>
          <w:color w:val="000000"/>
          <w:sz w:val="24"/>
        </w:rPr>
        <w:t>日</w:t>
      </w:r>
    </w:p>
    <w:sectPr>
      <w:headerReference r:id="rId3" w:type="default"/>
      <w:footerReference r:id="rId5" w:type="default"/>
      <w:headerReference r:id="rId4" w:type="even"/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PJJC+ËÎÌå">
    <w:altName w:val="Leelawadee UI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Leelawadee UI">
    <w:panose1 w:val="020B0502040204020203"/>
    <w:charset w:val="00"/>
    <w:family w:val="auto"/>
    <w:pitch w:val="default"/>
    <w:sig w:usb0="83000003" w:usb1="00000000" w:usb2="00010000" w:usb3="00000001" w:csb0="000101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2689303"/>
    </w:sdtPr>
    <w:sdtContent>
      <w:p w14:paraId="6E4D1AC5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1C9A10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0BAEB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A1CDE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514491"/>
    <w:multiLevelType w:val="multilevel"/>
    <w:tmpl w:val="6B514491"/>
    <w:lvl w:ilvl="0" w:tentative="0">
      <w:start w:val="1"/>
      <w:numFmt w:val="bullet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OTdiMzUwZGNiNTRjMjk0ODdmYTM1MmY1MTQxZTMifQ=="/>
  </w:docVars>
  <w:rsids>
    <w:rsidRoot w:val="00AC7A56"/>
    <w:rsid w:val="0000327D"/>
    <w:rsid w:val="0000667D"/>
    <w:rsid w:val="000126A2"/>
    <w:rsid w:val="00013893"/>
    <w:rsid w:val="000173AC"/>
    <w:rsid w:val="000207ED"/>
    <w:rsid w:val="00021502"/>
    <w:rsid w:val="000232C5"/>
    <w:rsid w:val="00024714"/>
    <w:rsid w:val="000251E1"/>
    <w:rsid w:val="00037D3A"/>
    <w:rsid w:val="000415BC"/>
    <w:rsid w:val="000620C6"/>
    <w:rsid w:val="00081D0B"/>
    <w:rsid w:val="0008654E"/>
    <w:rsid w:val="0009464B"/>
    <w:rsid w:val="000970E3"/>
    <w:rsid w:val="000B77F9"/>
    <w:rsid w:val="000C13B7"/>
    <w:rsid w:val="000C373B"/>
    <w:rsid w:val="000D1025"/>
    <w:rsid w:val="000D57E2"/>
    <w:rsid w:val="000E7C8E"/>
    <w:rsid w:val="000F0C41"/>
    <w:rsid w:val="000F1C51"/>
    <w:rsid w:val="000F466D"/>
    <w:rsid w:val="000F7658"/>
    <w:rsid w:val="00100F65"/>
    <w:rsid w:val="0010459A"/>
    <w:rsid w:val="00120E1C"/>
    <w:rsid w:val="001423DE"/>
    <w:rsid w:val="00143BB3"/>
    <w:rsid w:val="00152BB0"/>
    <w:rsid w:val="001564CF"/>
    <w:rsid w:val="00157422"/>
    <w:rsid w:val="001620CC"/>
    <w:rsid w:val="0017127B"/>
    <w:rsid w:val="00176150"/>
    <w:rsid w:val="00180299"/>
    <w:rsid w:val="00184328"/>
    <w:rsid w:val="00190F35"/>
    <w:rsid w:val="001936A1"/>
    <w:rsid w:val="00197B2C"/>
    <w:rsid w:val="001A3667"/>
    <w:rsid w:val="001A52F4"/>
    <w:rsid w:val="001C210D"/>
    <w:rsid w:val="001C6335"/>
    <w:rsid w:val="001D1C53"/>
    <w:rsid w:val="001D4C12"/>
    <w:rsid w:val="001D6EB2"/>
    <w:rsid w:val="001D74B9"/>
    <w:rsid w:val="001E302B"/>
    <w:rsid w:val="001F1061"/>
    <w:rsid w:val="001F5EB5"/>
    <w:rsid w:val="001F7751"/>
    <w:rsid w:val="001F7C17"/>
    <w:rsid w:val="00202B6A"/>
    <w:rsid w:val="0020476A"/>
    <w:rsid w:val="00226005"/>
    <w:rsid w:val="002278D6"/>
    <w:rsid w:val="00233E3F"/>
    <w:rsid w:val="00241C2B"/>
    <w:rsid w:val="00242172"/>
    <w:rsid w:val="00244219"/>
    <w:rsid w:val="00244976"/>
    <w:rsid w:val="0025345F"/>
    <w:rsid w:val="00254984"/>
    <w:rsid w:val="002551EA"/>
    <w:rsid w:val="002623C7"/>
    <w:rsid w:val="00263CBC"/>
    <w:rsid w:val="00267FFA"/>
    <w:rsid w:val="0027022A"/>
    <w:rsid w:val="002808B3"/>
    <w:rsid w:val="00290AC0"/>
    <w:rsid w:val="00297A04"/>
    <w:rsid w:val="002A53D2"/>
    <w:rsid w:val="002B03DD"/>
    <w:rsid w:val="002B1FD4"/>
    <w:rsid w:val="002B2F18"/>
    <w:rsid w:val="002B38E7"/>
    <w:rsid w:val="002B3B5C"/>
    <w:rsid w:val="002B3BDE"/>
    <w:rsid w:val="002B75A5"/>
    <w:rsid w:val="002C31AF"/>
    <w:rsid w:val="002C5A80"/>
    <w:rsid w:val="002D3651"/>
    <w:rsid w:val="002D509B"/>
    <w:rsid w:val="002D6E6D"/>
    <w:rsid w:val="002E0C18"/>
    <w:rsid w:val="002E30DA"/>
    <w:rsid w:val="002E6057"/>
    <w:rsid w:val="00300275"/>
    <w:rsid w:val="00304297"/>
    <w:rsid w:val="0030659B"/>
    <w:rsid w:val="00312E7A"/>
    <w:rsid w:val="003158DF"/>
    <w:rsid w:val="00317B35"/>
    <w:rsid w:val="0032012A"/>
    <w:rsid w:val="0032528E"/>
    <w:rsid w:val="00326354"/>
    <w:rsid w:val="0033784C"/>
    <w:rsid w:val="00347138"/>
    <w:rsid w:val="0037295F"/>
    <w:rsid w:val="00377CF3"/>
    <w:rsid w:val="00385A17"/>
    <w:rsid w:val="00394522"/>
    <w:rsid w:val="003A2D82"/>
    <w:rsid w:val="003A3A1F"/>
    <w:rsid w:val="003B0E53"/>
    <w:rsid w:val="003B2847"/>
    <w:rsid w:val="003B301D"/>
    <w:rsid w:val="003C42CE"/>
    <w:rsid w:val="003C7428"/>
    <w:rsid w:val="003D2E52"/>
    <w:rsid w:val="003D3B68"/>
    <w:rsid w:val="003D5115"/>
    <w:rsid w:val="003E164A"/>
    <w:rsid w:val="003E3F99"/>
    <w:rsid w:val="003F153C"/>
    <w:rsid w:val="003F5DB6"/>
    <w:rsid w:val="0040581A"/>
    <w:rsid w:val="0041127B"/>
    <w:rsid w:val="00423162"/>
    <w:rsid w:val="004302E2"/>
    <w:rsid w:val="00456287"/>
    <w:rsid w:val="00457A66"/>
    <w:rsid w:val="0046284C"/>
    <w:rsid w:val="004646F1"/>
    <w:rsid w:val="004719C3"/>
    <w:rsid w:val="0047340C"/>
    <w:rsid w:val="004770A2"/>
    <w:rsid w:val="00483231"/>
    <w:rsid w:val="00485B42"/>
    <w:rsid w:val="00486C4A"/>
    <w:rsid w:val="0049205E"/>
    <w:rsid w:val="00492A8C"/>
    <w:rsid w:val="0049514C"/>
    <w:rsid w:val="004A1121"/>
    <w:rsid w:val="004A26BF"/>
    <w:rsid w:val="004A3A5C"/>
    <w:rsid w:val="004B2196"/>
    <w:rsid w:val="004B6C24"/>
    <w:rsid w:val="004E155A"/>
    <w:rsid w:val="004E36A4"/>
    <w:rsid w:val="004E74FC"/>
    <w:rsid w:val="004F3B4E"/>
    <w:rsid w:val="00501E90"/>
    <w:rsid w:val="0050793D"/>
    <w:rsid w:val="00512092"/>
    <w:rsid w:val="005221B7"/>
    <w:rsid w:val="005226D5"/>
    <w:rsid w:val="00525CEE"/>
    <w:rsid w:val="005266D6"/>
    <w:rsid w:val="005269FB"/>
    <w:rsid w:val="00530106"/>
    <w:rsid w:val="0053036C"/>
    <w:rsid w:val="00533352"/>
    <w:rsid w:val="00547AA6"/>
    <w:rsid w:val="005513B5"/>
    <w:rsid w:val="00553C33"/>
    <w:rsid w:val="00556ABC"/>
    <w:rsid w:val="0056106B"/>
    <w:rsid w:val="00570FEA"/>
    <w:rsid w:val="00584D2A"/>
    <w:rsid w:val="005866A7"/>
    <w:rsid w:val="00587138"/>
    <w:rsid w:val="0059111F"/>
    <w:rsid w:val="00595D1D"/>
    <w:rsid w:val="00597FCE"/>
    <w:rsid w:val="005A6B95"/>
    <w:rsid w:val="005E0066"/>
    <w:rsid w:val="005E2910"/>
    <w:rsid w:val="005E3352"/>
    <w:rsid w:val="005E4AF0"/>
    <w:rsid w:val="005F161A"/>
    <w:rsid w:val="005F2EF4"/>
    <w:rsid w:val="005F77BB"/>
    <w:rsid w:val="00600D66"/>
    <w:rsid w:val="0060764A"/>
    <w:rsid w:val="00610400"/>
    <w:rsid w:val="006156A5"/>
    <w:rsid w:val="006159E6"/>
    <w:rsid w:val="00620393"/>
    <w:rsid w:val="00621263"/>
    <w:rsid w:val="006237EB"/>
    <w:rsid w:val="00630551"/>
    <w:rsid w:val="00634687"/>
    <w:rsid w:val="0064627F"/>
    <w:rsid w:val="00660C80"/>
    <w:rsid w:val="00664712"/>
    <w:rsid w:val="00667B50"/>
    <w:rsid w:val="00667EEF"/>
    <w:rsid w:val="00673DE7"/>
    <w:rsid w:val="006751FD"/>
    <w:rsid w:val="006800B8"/>
    <w:rsid w:val="006825AF"/>
    <w:rsid w:val="00683789"/>
    <w:rsid w:val="0068650D"/>
    <w:rsid w:val="00693E5A"/>
    <w:rsid w:val="006A20F6"/>
    <w:rsid w:val="006C02A9"/>
    <w:rsid w:val="006C23A9"/>
    <w:rsid w:val="006C6382"/>
    <w:rsid w:val="006D03E6"/>
    <w:rsid w:val="006D4C63"/>
    <w:rsid w:val="006D52AA"/>
    <w:rsid w:val="006D5C37"/>
    <w:rsid w:val="006D5EAD"/>
    <w:rsid w:val="006E1FA0"/>
    <w:rsid w:val="006F57D1"/>
    <w:rsid w:val="006F7A9B"/>
    <w:rsid w:val="0070330D"/>
    <w:rsid w:val="00713268"/>
    <w:rsid w:val="007220C3"/>
    <w:rsid w:val="00724CBE"/>
    <w:rsid w:val="0076209A"/>
    <w:rsid w:val="007638A0"/>
    <w:rsid w:val="007649B1"/>
    <w:rsid w:val="00770072"/>
    <w:rsid w:val="00776114"/>
    <w:rsid w:val="00777349"/>
    <w:rsid w:val="00783BB0"/>
    <w:rsid w:val="007951DF"/>
    <w:rsid w:val="007A4140"/>
    <w:rsid w:val="007B1146"/>
    <w:rsid w:val="007B416E"/>
    <w:rsid w:val="007B482A"/>
    <w:rsid w:val="007B77A9"/>
    <w:rsid w:val="007C2D0B"/>
    <w:rsid w:val="007C363D"/>
    <w:rsid w:val="007C6DA4"/>
    <w:rsid w:val="007D15A3"/>
    <w:rsid w:val="007E5328"/>
    <w:rsid w:val="007E5C79"/>
    <w:rsid w:val="007F4ACA"/>
    <w:rsid w:val="007F52A2"/>
    <w:rsid w:val="007F5B01"/>
    <w:rsid w:val="00805AE6"/>
    <w:rsid w:val="00812449"/>
    <w:rsid w:val="00816B5C"/>
    <w:rsid w:val="00830D40"/>
    <w:rsid w:val="00835CA0"/>
    <w:rsid w:val="008434A3"/>
    <w:rsid w:val="0084604B"/>
    <w:rsid w:val="008805D0"/>
    <w:rsid w:val="00884049"/>
    <w:rsid w:val="00894E52"/>
    <w:rsid w:val="00897F54"/>
    <w:rsid w:val="008A2BBA"/>
    <w:rsid w:val="008A4154"/>
    <w:rsid w:val="008A423F"/>
    <w:rsid w:val="008A567E"/>
    <w:rsid w:val="008A701E"/>
    <w:rsid w:val="008B1368"/>
    <w:rsid w:val="008C350B"/>
    <w:rsid w:val="008C6A80"/>
    <w:rsid w:val="008D211B"/>
    <w:rsid w:val="008F251D"/>
    <w:rsid w:val="008F656A"/>
    <w:rsid w:val="009006B3"/>
    <w:rsid w:val="00911F48"/>
    <w:rsid w:val="00912245"/>
    <w:rsid w:val="009149F8"/>
    <w:rsid w:val="0092256F"/>
    <w:rsid w:val="009264AF"/>
    <w:rsid w:val="00926722"/>
    <w:rsid w:val="00937616"/>
    <w:rsid w:val="00937F27"/>
    <w:rsid w:val="009412E1"/>
    <w:rsid w:val="009425A4"/>
    <w:rsid w:val="00955457"/>
    <w:rsid w:val="00955714"/>
    <w:rsid w:val="009621E7"/>
    <w:rsid w:val="00962E12"/>
    <w:rsid w:val="00971F4E"/>
    <w:rsid w:val="009830FA"/>
    <w:rsid w:val="0098382E"/>
    <w:rsid w:val="0099451D"/>
    <w:rsid w:val="009963E2"/>
    <w:rsid w:val="009971E8"/>
    <w:rsid w:val="009A2F26"/>
    <w:rsid w:val="009A36AA"/>
    <w:rsid w:val="009B5B79"/>
    <w:rsid w:val="009C25A8"/>
    <w:rsid w:val="009C29CB"/>
    <w:rsid w:val="009D00F6"/>
    <w:rsid w:val="009D759B"/>
    <w:rsid w:val="009E00CD"/>
    <w:rsid w:val="009E1FC4"/>
    <w:rsid w:val="009E5749"/>
    <w:rsid w:val="009E71FA"/>
    <w:rsid w:val="009F07AE"/>
    <w:rsid w:val="009F5396"/>
    <w:rsid w:val="009F539E"/>
    <w:rsid w:val="009F71A4"/>
    <w:rsid w:val="00A01DCE"/>
    <w:rsid w:val="00A03D3C"/>
    <w:rsid w:val="00A0431C"/>
    <w:rsid w:val="00A12459"/>
    <w:rsid w:val="00A12FD7"/>
    <w:rsid w:val="00A222A1"/>
    <w:rsid w:val="00A31803"/>
    <w:rsid w:val="00A42863"/>
    <w:rsid w:val="00A46A73"/>
    <w:rsid w:val="00A57B15"/>
    <w:rsid w:val="00A635BB"/>
    <w:rsid w:val="00A760BB"/>
    <w:rsid w:val="00A76DC5"/>
    <w:rsid w:val="00A80987"/>
    <w:rsid w:val="00A80B15"/>
    <w:rsid w:val="00A8615B"/>
    <w:rsid w:val="00A954CA"/>
    <w:rsid w:val="00AA1FE8"/>
    <w:rsid w:val="00AA39C9"/>
    <w:rsid w:val="00AB3587"/>
    <w:rsid w:val="00AB7234"/>
    <w:rsid w:val="00AC2D12"/>
    <w:rsid w:val="00AC66A5"/>
    <w:rsid w:val="00AC7A56"/>
    <w:rsid w:val="00AD6F14"/>
    <w:rsid w:val="00AE49E5"/>
    <w:rsid w:val="00AE4D4F"/>
    <w:rsid w:val="00AE72A3"/>
    <w:rsid w:val="00AF063A"/>
    <w:rsid w:val="00AF5D2D"/>
    <w:rsid w:val="00B271AF"/>
    <w:rsid w:val="00B3310A"/>
    <w:rsid w:val="00B41A5B"/>
    <w:rsid w:val="00B4293B"/>
    <w:rsid w:val="00B446BE"/>
    <w:rsid w:val="00B50EC3"/>
    <w:rsid w:val="00B55D61"/>
    <w:rsid w:val="00B60EB2"/>
    <w:rsid w:val="00B7471C"/>
    <w:rsid w:val="00B81039"/>
    <w:rsid w:val="00BA4F7A"/>
    <w:rsid w:val="00BA5987"/>
    <w:rsid w:val="00BA767C"/>
    <w:rsid w:val="00BB1DCE"/>
    <w:rsid w:val="00BB54B8"/>
    <w:rsid w:val="00BB6396"/>
    <w:rsid w:val="00BB7576"/>
    <w:rsid w:val="00BC0386"/>
    <w:rsid w:val="00BD5524"/>
    <w:rsid w:val="00BE33C0"/>
    <w:rsid w:val="00BF3CDF"/>
    <w:rsid w:val="00BF6BD8"/>
    <w:rsid w:val="00C030E5"/>
    <w:rsid w:val="00C107AB"/>
    <w:rsid w:val="00C34903"/>
    <w:rsid w:val="00C42ABB"/>
    <w:rsid w:val="00C442A9"/>
    <w:rsid w:val="00C46643"/>
    <w:rsid w:val="00C55BAF"/>
    <w:rsid w:val="00C5781A"/>
    <w:rsid w:val="00C63E0F"/>
    <w:rsid w:val="00C66916"/>
    <w:rsid w:val="00C70B1F"/>
    <w:rsid w:val="00C75A20"/>
    <w:rsid w:val="00C80DF5"/>
    <w:rsid w:val="00C8241B"/>
    <w:rsid w:val="00C91D6D"/>
    <w:rsid w:val="00C92E37"/>
    <w:rsid w:val="00CA320E"/>
    <w:rsid w:val="00CA3A10"/>
    <w:rsid w:val="00CB033A"/>
    <w:rsid w:val="00CC1C4B"/>
    <w:rsid w:val="00CD1008"/>
    <w:rsid w:val="00CD1039"/>
    <w:rsid w:val="00CE11A7"/>
    <w:rsid w:val="00CE18DF"/>
    <w:rsid w:val="00CE3C86"/>
    <w:rsid w:val="00CE4745"/>
    <w:rsid w:val="00CE750B"/>
    <w:rsid w:val="00CF6F43"/>
    <w:rsid w:val="00D009BE"/>
    <w:rsid w:val="00D042E9"/>
    <w:rsid w:val="00D2084E"/>
    <w:rsid w:val="00D31F42"/>
    <w:rsid w:val="00D45627"/>
    <w:rsid w:val="00D52B8A"/>
    <w:rsid w:val="00D532DD"/>
    <w:rsid w:val="00D7323F"/>
    <w:rsid w:val="00D820E7"/>
    <w:rsid w:val="00D851EE"/>
    <w:rsid w:val="00D85D02"/>
    <w:rsid w:val="00D9678E"/>
    <w:rsid w:val="00DA61A6"/>
    <w:rsid w:val="00DB0D5E"/>
    <w:rsid w:val="00DB3AAE"/>
    <w:rsid w:val="00DC6C46"/>
    <w:rsid w:val="00DE1689"/>
    <w:rsid w:val="00DE1B60"/>
    <w:rsid w:val="00E02F45"/>
    <w:rsid w:val="00E05966"/>
    <w:rsid w:val="00E06881"/>
    <w:rsid w:val="00E142C4"/>
    <w:rsid w:val="00E2042A"/>
    <w:rsid w:val="00E20746"/>
    <w:rsid w:val="00E27E60"/>
    <w:rsid w:val="00E27EDF"/>
    <w:rsid w:val="00E3730F"/>
    <w:rsid w:val="00E40058"/>
    <w:rsid w:val="00E41AC5"/>
    <w:rsid w:val="00E41AEE"/>
    <w:rsid w:val="00E45FCA"/>
    <w:rsid w:val="00E51C7E"/>
    <w:rsid w:val="00E51FAE"/>
    <w:rsid w:val="00E54B8D"/>
    <w:rsid w:val="00E5567B"/>
    <w:rsid w:val="00E56BA1"/>
    <w:rsid w:val="00E61E30"/>
    <w:rsid w:val="00E63CC0"/>
    <w:rsid w:val="00E70E76"/>
    <w:rsid w:val="00E738B7"/>
    <w:rsid w:val="00E744E4"/>
    <w:rsid w:val="00E83313"/>
    <w:rsid w:val="00E833BF"/>
    <w:rsid w:val="00E94DBC"/>
    <w:rsid w:val="00EA20E1"/>
    <w:rsid w:val="00EA2F8E"/>
    <w:rsid w:val="00EA4FF6"/>
    <w:rsid w:val="00EB1A80"/>
    <w:rsid w:val="00EB79A9"/>
    <w:rsid w:val="00EC5876"/>
    <w:rsid w:val="00EC5B42"/>
    <w:rsid w:val="00EC5F00"/>
    <w:rsid w:val="00EC69F7"/>
    <w:rsid w:val="00ED54B6"/>
    <w:rsid w:val="00EE3FB8"/>
    <w:rsid w:val="00EE67CA"/>
    <w:rsid w:val="00EF00D1"/>
    <w:rsid w:val="00EF619D"/>
    <w:rsid w:val="00F00A7E"/>
    <w:rsid w:val="00F10F3B"/>
    <w:rsid w:val="00F122F7"/>
    <w:rsid w:val="00F125CF"/>
    <w:rsid w:val="00F15C51"/>
    <w:rsid w:val="00F2080F"/>
    <w:rsid w:val="00F333FA"/>
    <w:rsid w:val="00F3676E"/>
    <w:rsid w:val="00F41E7D"/>
    <w:rsid w:val="00F42436"/>
    <w:rsid w:val="00F60F28"/>
    <w:rsid w:val="00F62FBE"/>
    <w:rsid w:val="00F64FF2"/>
    <w:rsid w:val="00F71304"/>
    <w:rsid w:val="00F82BAF"/>
    <w:rsid w:val="00F86B23"/>
    <w:rsid w:val="00F87036"/>
    <w:rsid w:val="00F87BA0"/>
    <w:rsid w:val="00FA3A08"/>
    <w:rsid w:val="00FA6203"/>
    <w:rsid w:val="00FC0879"/>
    <w:rsid w:val="00FC3A11"/>
    <w:rsid w:val="00FD0BCB"/>
    <w:rsid w:val="00FD4327"/>
    <w:rsid w:val="00FD7C48"/>
    <w:rsid w:val="00FE3FF0"/>
    <w:rsid w:val="00FE7E9E"/>
    <w:rsid w:val="00FF2F44"/>
    <w:rsid w:val="00FF365B"/>
    <w:rsid w:val="098B202E"/>
    <w:rsid w:val="0BEB6F66"/>
    <w:rsid w:val="0F1A64E0"/>
    <w:rsid w:val="13C23E99"/>
    <w:rsid w:val="14130CD7"/>
    <w:rsid w:val="153D2F5F"/>
    <w:rsid w:val="284A73D0"/>
    <w:rsid w:val="2AA01EA9"/>
    <w:rsid w:val="2B695E7D"/>
    <w:rsid w:val="35CF42A2"/>
    <w:rsid w:val="3C6712F7"/>
    <w:rsid w:val="411F182E"/>
    <w:rsid w:val="52FB4FDF"/>
    <w:rsid w:val="620F7F9F"/>
    <w:rsid w:val="655553D6"/>
    <w:rsid w:val="6B3F06B8"/>
    <w:rsid w:val="6D8D3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3"/>
    <w:semiHidden/>
    <w:qFormat/>
    <w:uiPriority w:val="99"/>
    <w:rPr>
      <w:rFonts w:ascii="Calibri" w:hAnsi="Calibri" w:eastAsia="宋体" w:cs="Times New Roman"/>
      <w:kern w:val="1"/>
    </w:rPr>
  </w:style>
  <w:style w:type="character" w:customStyle="1" w:styleId="13">
    <w:name w:val="批注主题 字符"/>
    <w:basedOn w:val="12"/>
    <w:link w:val="7"/>
    <w:semiHidden/>
    <w:qFormat/>
    <w:uiPriority w:val="99"/>
    <w:rPr>
      <w:rFonts w:ascii="Calibri" w:hAnsi="Calibri" w:eastAsia="宋体" w:cs="Times New Roman"/>
      <w:b/>
      <w:bCs/>
      <w:kern w:val="1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character" w:customStyle="1" w:styleId="15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页眉 字符"/>
    <w:basedOn w:val="10"/>
    <w:link w:val="6"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rFonts w:ascii="Calibri" w:hAnsi="Calibri" w:eastAsia="宋体" w:cs="Times New Roman"/>
      <w:kern w:val="1"/>
      <w:sz w:val="18"/>
      <w:szCs w:val="18"/>
    </w:rPr>
  </w:style>
  <w:style w:type="paragraph" w:styleId="18">
    <w:name w:val="No Spacing"/>
    <w:qFormat/>
    <w:uiPriority w:val="1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character" w:customStyle="1" w:styleId="19">
    <w:name w:val="apple-converted-space"/>
    <w:basedOn w:val="10"/>
    <w:qFormat/>
    <w:uiPriority w:val="0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修订1"/>
    <w:hidden/>
    <w:semiHidden/>
    <w:qFormat/>
    <w:uiPriority w:val="99"/>
    <w:rPr>
      <w:rFonts w:ascii="Calibri" w:hAnsi="Calibri" w:eastAsia="宋体" w:cs="Times New Roman"/>
      <w:kern w:val="1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6DA6-3FEE-4584-BFB8-BEF54D3497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913</Characters>
  <Lines>10</Lines>
  <Paragraphs>3</Paragraphs>
  <TotalTime>9</TotalTime>
  <ScaleCrop>false</ScaleCrop>
  <LinksUpToDate>false</LinksUpToDate>
  <CharactersWithSpaces>929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2023-12-14T02:01:00Z</dcterms:created>
  <dc:creator>infaith Mancy</dc:creator>
  <cp:lastModifiedBy>WPS_1495353701</cp:lastModifiedBy>
  <cp:lastPrinted>2016-12-28T08:39:00Z</cp:lastPrinted>
  <dcterms:modified xsi:type="dcterms:W3CDTF">2025-11-10T03:57:55Z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7139BBB7B16A40A3B8EE0298E25D04B7_13</vt:lpwstr>
  </property>
  <property fmtid="{D5CDD505-2E9C-101B-9397-08002B2CF9AE}" pid="4" name="KSOTemplateDocerSaveRecord">
    <vt:lpwstr>eyJoZGlkIjoiNTU4MGVkYmY3MGY1MDFjZGE2Mjc2ZTUyMDY5ZDJiNTkiLCJ1c2VySWQiOiIyODE0MDkwMjYifQ==</vt:lpwstr>
  </property>
</Properties>
</file>