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217EC" w14:textId="77777777" w:rsidR="00691ABA" w:rsidRDefault="001B438C">
      <w:pPr>
        <w:spacing w:beforeLines="50" w:before="156" w:afterLines="50" w:after="156"/>
        <w:rPr>
          <w:bCs/>
          <w:szCs w:val="21"/>
        </w:rPr>
      </w:pPr>
      <w:r>
        <w:rPr>
          <w:rFonts w:hint="eastAsia"/>
          <w:bCs/>
          <w:szCs w:val="21"/>
        </w:rPr>
        <w:t>公司代码：</w:t>
      </w:r>
      <w:r>
        <w:rPr>
          <w:rFonts w:hint="eastAsia"/>
          <w:bCs/>
        </w:rPr>
        <w:t>603858</w:t>
      </w:r>
      <w:r>
        <w:rPr>
          <w:rFonts w:hint="eastAsia"/>
          <w:bCs/>
          <w:szCs w:val="21"/>
        </w:rPr>
        <w:t xml:space="preserve">                      </w:t>
      </w:r>
      <w:proofErr w:type="gramStart"/>
      <w:r>
        <w:rPr>
          <w:rFonts w:hint="eastAsia"/>
          <w:bCs/>
          <w:szCs w:val="21"/>
        </w:rPr>
        <w:t xml:space="preserve">　　　　　　　　　　</w:t>
      </w:r>
      <w:proofErr w:type="gramEnd"/>
      <w:r>
        <w:rPr>
          <w:rFonts w:hint="eastAsia"/>
          <w:bCs/>
          <w:szCs w:val="21"/>
        </w:rPr>
        <w:t>公司简称：</w:t>
      </w:r>
      <w:r>
        <w:rPr>
          <w:rFonts w:hint="eastAsia"/>
          <w:bCs/>
          <w:color w:val="000000" w:themeColor="text1"/>
        </w:rPr>
        <w:t>步长制药</w:t>
      </w:r>
    </w:p>
    <w:p w14:paraId="13FC5A01" w14:textId="77777777" w:rsidR="00691ABA" w:rsidRDefault="00691ABA"/>
    <w:p w14:paraId="5315A4B7" w14:textId="77777777" w:rsidR="00691ABA" w:rsidRDefault="00691ABA"/>
    <w:p w14:paraId="005CE959" w14:textId="77777777" w:rsidR="00691ABA" w:rsidRDefault="00691ABA"/>
    <w:p w14:paraId="0770A37F" w14:textId="77777777" w:rsidR="00691ABA" w:rsidRDefault="00691ABA"/>
    <w:p w14:paraId="073D0068" w14:textId="77777777" w:rsidR="00691ABA" w:rsidRDefault="00691ABA"/>
    <w:p w14:paraId="4A45394A" w14:textId="77777777" w:rsidR="00691ABA" w:rsidRDefault="00691ABA"/>
    <w:p w14:paraId="5CB39A36" w14:textId="77777777" w:rsidR="00691ABA" w:rsidRDefault="00691ABA"/>
    <w:p w14:paraId="712FE3C1" w14:textId="77777777" w:rsidR="00691ABA" w:rsidRDefault="001B438C">
      <w:pPr>
        <w:jc w:val="center"/>
        <w:rPr>
          <w:b/>
          <w:bCs/>
          <w:sz w:val="32"/>
          <w:szCs w:val="32"/>
        </w:rPr>
      </w:pPr>
      <w:r>
        <w:rPr>
          <w:rFonts w:hint="eastAsia"/>
          <w:b/>
          <w:bCs/>
          <w:sz w:val="32"/>
          <w:szCs w:val="32"/>
        </w:rPr>
        <w:t>山东步长制药股份有限公司</w:t>
      </w:r>
    </w:p>
    <w:p w14:paraId="554150A8" w14:textId="0C63E398" w:rsidR="00691ABA" w:rsidRDefault="001B438C">
      <w:pPr>
        <w:jc w:val="center"/>
        <w:rPr>
          <w:b/>
          <w:bCs/>
          <w:sz w:val="32"/>
          <w:szCs w:val="32"/>
        </w:rPr>
      </w:pPr>
      <w:r>
        <w:rPr>
          <w:rFonts w:asciiTheme="majorEastAsia" w:eastAsiaTheme="majorEastAsia" w:hAnsiTheme="majorEastAsia"/>
          <w:b/>
          <w:bCs/>
          <w:sz w:val="32"/>
          <w:szCs w:val="32"/>
        </w:rPr>
        <w:t>2025</w:t>
      </w:r>
      <w:r>
        <w:rPr>
          <w:rFonts w:hint="eastAsia"/>
          <w:b/>
          <w:bCs/>
          <w:sz w:val="32"/>
          <w:szCs w:val="32"/>
        </w:rPr>
        <w:t>年半年度报告摘要</w:t>
      </w:r>
    </w:p>
    <w:p w14:paraId="45C02C73" w14:textId="77777777" w:rsidR="00691ABA" w:rsidRPr="00A71E2E" w:rsidRDefault="00691ABA"/>
    <w:p w14:paraId="7876156F" w14:textId="77777777" w:rsidR="00691ABA" w:rsidRDefault="00691ABA"/>
    <w:p w14:paraId="65214579" w14:textId="77777777" w:rsidR="00691ABA" w:rsidRDefault="00691ABA"/>
    <w:p w14:paraId="4873206D" w14:textId="77777777" w:rsidR="00691ABA" w:rsidRDefault="00691ABA"/>
    <w:p w14:paraId="03AFDDE7" w14:textId="77777777" w:rsidR="00691ABA" w:rsidRDefault="00691ABA"/>
    <w:p w14:paraId="0CE09467" w14:textId="77777777" w:rsidR="00691ABA" w:rsidRDefault="00691ABA"/>
    <w:p w14:paraId="1EA9F0B6" w14:textId="77777777" w:rsidR="00691ABA" w:rsidRDefault="00691ABA"/>
    <w:p w14:paraId="78843FEB" w14:textId="77777777" w:rsidR="00691ABA" w:rsidRDefault="001B438C">
      <w:r>
        <w:br w:type="page"/>
      </w:r>
    </w:p>
    <w:p w14:paraId="0495175B" w14:textId="7ECB2162" w:rsidR="00691ABA" w:rsidRDefault="001B438C">
      <w:pPr>
        <w:pStyle w:val="10"/>
        <w:spacing w:line="240" w:lineRule="auto"/>
        <w:rPr>
          <w:sz w:val="24"/>
          <w:szCs w:val="24"/>
        </w:rPr>
      </w:pPr>
      <w:r>
        <w:rPr>
          <w:rFonts w:hint="eastAsia"/>
          <w:sz w:val="24"/>
          <w:szCs w:val="24"/>
        </w:rPr>
        <w:lastRenderedPageBreak/>
        <w:t>第一节</w:t>
      </w:r>
      <w:r>
        <w:rPr>
          <w:rFonts w:hint="eastAsia"/>
          <w:sz w:val="24"/>
          <w:szCs w:val="24"/>
        </w:rPr>
        <w:t xml:space="preserve"> </w:t>
      </w:r>
      <w:r>
        <w:rPr>
          <w:rFonts w:hint="eastAsia"/>
          <w:sz w:val="24"/>
          <w:szCs w:val="24"/>
        </w:rPr>
        <w:t>重要提示</w:t>
      </w:r>
    </w:p>
    <w:p w14:paraId="66ADB0A2" w14:textId="73E26133" w:rsidR="00691ABA" w:rsidRDefault="001B438C">
      <w:pPr>
        <w:pStyle w:val="20"/>
        <w:numPr>
          <w:ilvl w:val="0"/>
          <w:numId w:val="18"/>
        </w:numPr>
        <w:spacing w:before="0" w:after="0" w:line="480" w:lineRule="auto"/>
        <w:ind w:left="0" w:firstLine="0"/>
        <w:rPr>
          <w:rFonts w:ascii="Times New Roman" w:hAnsi="Times New Roman"/>
          <w:szCs w:val="22"/>
        </w:rPr>
      </w:pPr>
      <w:proofErr w:type="gramStart"/>
      <w:r>
        <w:rPr>
          <w:rFonts w:ascii="Times New Roman" w:hAnsi="Times New Roman" w:hint="eastAsia"/>
          <w:szCs w:val="22"/>
        </w:rPr>
        <w:t>本半年度</w:t>
      </w:r>
      <w:proofErr w:type="gramEnd"/>
      <w:r>
        <w:rPr>
          <w:rFonts w:ascii="Times New Roman" w:hAnsi="Times New Roman" w:hint="eastAsia"/>
          <w:szCs w:val="22"/>
        </w:rPr>
        <w:t>报告摘要来自半年度报告全文，为全面了解本公司的经营成果、财务状况及未来发展规划，投资者应当到</w:t>
      </w:r>
      <w:r>
        <w:rPr>
          <w:rFonts w:ascii="Times New Roman" w:hAnsi="Times New Roman" w:hint="eastAsia"/>
          <w:szCs w:val="22"/>
        </w:rPr>
        <w:t>www.sse.com.cn</w:t>
      </w:r>
      <w:r>
        <w:rPr>
          <w:rFonts w:ascii="Times New Roman" w:hAnsi="Times New Roman" w:hint="eastAsia"/>
          <w:szCs w:val="22"/>
        </w:rPr>
        <w:t>网站仔细阅读半年度报告全文。</w:t>
      </w:r>
    </w:p>
    <w:p w14:paraId="29C5107B" w14:textId="77777777" w:rsidR="00F2757A" w:rsidRDefault="001B438C">
      <w:pPr>
        <w:pStyle w:val="20"/>
        <w:numPr>
          <w:ilvl w:val="0"/>
          <w:numId w:val="18"/>
        </w:numPr>
        <w:spacing w:before="0" w:after="0" w:line="480" w:lineRule="auto"/>
        <w:ind w:left="0" w:firstLine="0"/>
        <w:rPr>
          <w:rFonts w:ascii="宋体" w:hAnsi="宋体"/>
          <w:color w:val="000000" w:themeColor="text1"/>
        </w:rPr>
      </w:pPr>
      <w:r>
        <w:rPr>
          <w:rFonts w:ascii="宋体" w:hAnsi="宋体" w:cs="宋体"/>
          <w:color w:val="000000" w:themeColor="text1"/>
        </w:rPr>
        <w:t>本公司董事会</w:t>
      </w:r>
      <w:r>
        <w:rPr>
          <w:rFonts w:ascii="宋体" w:hAnsi="宋体" w:cs="宋体" w:hint="eastAsia"/>
          <w:color w:val="000000" w:themeColor="text1"/>
        </w:rPr>
        <w:t>、</w:t>
      </w:r>
      <w:r>
        <w:rPr>
          <w:rFonts w:ascii="宋体" w:hAnsi="宋体" w:cs="宋体"/>
          <w:color w:val="000000" w:themeColor="text1"/>
        </w:rPr>
        <w:t>监事</w:t>
      </w:r>
      <w:r>
        <w:rPr>
          <w:rFonts w:ascii="宋体" w:hAnsi="宋体" w:cs="宋体" w:hint="eastAsia"/>
          <w:color w:val="000000" w:themeColor="text1"/>
        </w:rPr>
        <w:t>会</w:t>
      </w:r>
      <w:r>
        <w:rPr>
          <w:rFonts w:ascii="宋体" w:hAnsi="宋体" w:cs="宋体"/>
          <w:color w:val="000000" w:themeColor="text1"/>
        </w:rPr>
        <w:t>及董事、监事、高级管理人员保证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p>
    <w:p w14:paraId="50FFD223" w14:textId="77777777" w:rsidR="00F2757A" w:rsidRDefault="001B438C">
      <w:pPr>
        <w:pStyle w:val="20"/>
        <w:numPr>
          <w:ilvl w:val="0"/>
          <w:numId w:val="18"/>
        </w:numPr>
        <w:spacing w:before="0" w:after="0" w:line="480" w:lineRule="auto"/>
        <w:ind w:left="0" w:firstLine="0"/>
        <w:rPr>
          <w:rFonts w:ascii="宋体" w:hAnsi="宋体"/>
          <w:color w:val="000000" w:themeColor="text1"/>
        </w:rPr>
      </w:pPr>
      <w:r>
        <w:rPr>
          <w:rFonts w:ascii="宋体" w:hAnsi="宋体" w:hint="eastAsia"/>
          <w:color w:val="000000" w:themeColor="text1"/>
        </w:rPr>
        <w:t>公司全体董事出席董事会会议。</w:t>
      </w:r>
    </w:p>
    <w:p w14:paraId="0BDB86A5" w14:textId="77777777" w:rsidR="00F2757A" w:rsidRDefault="001B438C">
      <w:pPr>
        <w:pStyle w:val="20"/>
        <w:numPr>
          <w:ilvl w:val="0"/>
          <w:numId w:val="18"/>
        </w:numPr>
        <w:spacing w:before="0" w:after="0" w:line="480" w:lineRule="auto"/>
        <w:ind w:left="0" w:firstLine="0"/>
        <w:rPr>
          <w:rFonts w:ascii="宋体" w:hAnsi="宋体"/>
          <w:color w:val="000000" w:themeColor="text1"/>
        </w:rPr>
      </w:pPr>
      <w:proofErr w:type="gramStart"/>
      <w:r>
        <w:rPr>
          <w:rFonts w:ascii="宋体" w:hAnsi="宋体" w:hint="eastAsia"/>
          <w:color w:val="000000" w:themeColor="text1"/>
        </w:rPr>
        <w:t>本半年度</w:t>
      </w:r>
      <w:proofErr w:type="gramEnd"/>
      <w:r>
        <w:rPr>
          <w:rFonts w:ascii="宋体" w:hAnsi="宋体" w:hint="eastAsia"/>
          <w:color w:val="000000" w:themeColor="text1"/>
        </w:rPr>
        <w:t>报告未经审计。</w:t>
      </w:r>
    </w:p>
    <w:p w14:paraId="3A593E03" w14:textId="787748F4" w:rsidR="00691ABA" w:rsidRDefault="001B438C">
      <w:pPr>
        <w:pStyle w:val="20"/>
        <w:numPr>
          <w:ilvl w:val="0"/>
          <w:numId w:val="18"/>
        </w:numPr>
        <w:spacing w:before="0" w:after="0" w:line="480" w:lineRule="auto"/>
        <w:ind w:left="0" w:firstLine="0"/>
        <w:rPr>
          <w:rFonts w:ascii="Times New Roman" w:hAnsi="Times New Roman"/>
          <w:szCs w:val="22"/>
        </w:rPr>
      </w:pPr>
      <w:r>
        <w:rPr>
          <w:rFonts w:ascii="Times New Roman" w:hAnsi="Times New Roman" w:hint="eastAsia"/>
          <w:szCs w:val="22"/>
        </w:rPr>
        <w:t>董事会</w:t>
      </w:r>
      <w:r>
        <w:rPr>
          <w:rFonts w:ascii="Times New Roman" w:hAnsi="Times New Roman"/>
        </w:rPr>
        <w:t>决议通过的本报告期利润分配预案或公积金转增股本预案</w:t>
      </w:r>
    </w:p>
    <w:p w14:paraId="7DC3CAB6" w14:textId="77777777" w:rsidR="00F2757A" w:rsidRDefault="001B438C" w:rsidP="001A706A">
      <w:pPr>
        <w:spacing w:line="360" w:lineRule="auto"/>
        <w:ind w:firstLineChars="200" w:firstLine="420"/>
        <w:rPr>
          <w:color w:val="000000"/>
        </w:rPr>
      </w:pPr>
      <w:r>
        <w:rPr>
          <w:rFonts w:hint="eastAsia"/>
          <w:color w:val="000000" w:themeColor="text1"/>
        </w:rPr>
        <w:t>公司</w:t>
      </w:r>
      <w:r>
        <w:rPr>
          <w:rFonts w:hint="eastAsia"/>
          <w:color w:val="000000" w:themeColor="text1"/>
        </w:rPr>
        <w:t>202</w:t>
      </w:r>
      <w:r>
        <w:rPr>
          <w:color w:val="000000" w:themeColor="text1"/>
        </w:rPr>
        <w:t>5</w:t>
      </w:r>
      <w:r>
        <w:rPr>
          <w:rFonts w:hint="eastAsia"/>
          <w:color w:val="000000" w:themeColor="text1"/>
        </w:rPr>
        <w:t>年半年度利润分配预案：</w:t>
      </w:r>
      <w:r>
        <w:rPr>
          <w:rFonts w:hint="eastAsia"/>
          <w:color w:val="000000"/>
        </w:rPr>
        <w:t>根据公司</w:t>
      </w:r>
      <w:r>
        <w:rPr>
          <w:rFonts w:hint="eastAsia"/>
          <w:color w:val="000000"/>
        </w:rPr>
        <w:t>2025</w:t>
      </w:r>
      <w:r>
        <w:rPr>
          <w:rFonts w:hint="eastAsia"/>
          <w:color w:val="000000"/>
        </w:rPr>
        <w:t>年半年度报告（未经审计），母公司期末未分配利润为</w:t>
      </w:r>
      <w:r>
        <w:rPr>
          <w:rFonts w:hint="eastAsia"/>
          <w:color w:val="000000"/>
        </w:rPr>
        <w:t>6</w:t>
      </w:r>
      <w:r>
        <w:rPr>
          <w:color w:val="000000"/>
        </w:rPr>
        <w:t>,051,623</w:t>
      </w:r>
      <w:r>
        <w:rPr>
          <w:rFonts w:hint="eastAsia"/>
          <w:color w:val="000000"/>
        </w:rPr>
        <w:t>,</w:t>
      </w:r>
      <w:r>
        <w:rPr>
          <w:color w:val="000000"/>
        </w:rPr>
        <w:t>463.67</w:t>
      </w:r>
      <w:r>
        <w:rPr>
          <w:rFonts w:hint="eastAsia"/>
          <w:color w:val="000000"/>
        </w:rPr>
        <w:t>元，公司</w:t>
      </w:r>
      <w:r>
        <w:rPr>
          <w:rFonts w:hint="eastAsia"/>
          <w:color w:val="000000"/>
        </w:rPr>
        <w:t>2025</w:t>
      </w:r>
      <w:r>
        <w:rPr>
          <w:rFonts w:hint="eastAsia"/>
          <w:color w:val="000000"/>
        </w:rPr>
        <w:t>年</w:t>
      </w:r>
      <w:r>
        <w:rPr>
          <w:rFonts w:hint="eastAsia"/>
          <w:color w:val="000000"/>
        </w:rPr>
        <w:t>1-6</w:t>
      </w:r>
      <w:r>
        <w:rPr>
          <w:rFonts w:hint="eastAsia"/>
          <w:color w:val="000000"/>
        </w:rPr>
        <w:t>月实现归属于上市公司股东的净利润为</w:t>
      </w:r>
      <w:r>
        <w:rPr>
          <w:rFonts w:hint="eastAsia"/>
          <w:color w:val="000000"/>
        </w:rPr>
        <w:t>6</w:t>
      </w:r>
      <w:r>
        <w:rPr>
          <w:color w:val="000000"/>
        </w:rPr>
        <w:t>27,701,257.33</w:t>
      </w:r>
      <w:r>
        <w:rPr>
          <w:rFonts w:hint="eastAsia"/>
          <w:color w:val="000000"/>
        </w:rPr>
        <w:t>元。公司</w:t>
      </w:r>
      <w:r>
        <w:rPr>
          <w:rFonts w:hint="eastAsia"/>
          <w:color w:val="000000"/>
        </w:rPr>
        <w:t>2025</w:t>
      </w:r>
      <w:r>
        <w:rPr>
          <w:rFonts w:hint="eastAsia"/>
          <w:color w:val="000000"/>
        </w:rPr>
        <w:t>年半年度拟以实施权益分派时股权登记日公司总股本为基数，向全体股东每</w:t>
      </w:r>
      <w:r>
        <w:rPr>
          <w:rFonts w:hint="eastAsia"/>
          <w:color w:val="000000"/>
        </w:rPr>
        <w:t>10</w:t>
      </w:r>
      <w:r>
        <w:rPr>
          <w:rFonts w:hint="eastAsia"/>
          <w:color w:val="000000"/>
        </w:rPr>
        <w:t>股派发现金红利人民币</w:t>
      </w:r>
      <w:r>
        <w:rPr>
          <w:rFonts w:hint="eastAsia"/>
          <w:color w:val="000000"/>
        </w:rPr>
        <w:t>3.90</w:t>
      </w:r>
      <w:r>
        <w:rPr>
          <w:rFonts w:hint="eastAsia"/>
          <w:color w:val="000000"/>
        </w:rPr>
        <w:t>元（含税），不进行资本公积金转增股本，不送红股。</w:t>
      </w:r>
    </w:p>
    <w:p w14:paraId="5B44A6BF" w14:textId="77777777" w:rsidR="00F2757A" w:rsidRDefault="001B438C" w:rsidP="001A706A">
      <w:pPr>
        <w:spacing w:line="360" w:lineRule="auto"/>
        <w:ind w:firstLineChars="200" w:firstLine="420"/>
        <w:rPr>
          <w:color w:val="000000"/>
        </w:rPr>
      </w:pPr>
      <w:r>
        <w:rPr>
          <w:rFonts w:hint="eastAsia"/>
          <w:color w:val="000000" w:themeColor="text1"/>
        </w:rPr>
        <w:t>以目前中国证券登记结算有限责任公司登记在册的公司总股本</w:t>
      </w:r>
      <w:r>
        <w:rPr>
          <w:rFonts w:hint="eastAsia"/>
          <w:color w:val="000000" w:themeColor="text1"/>
        </w:rPr>
        <w:t>1</w:t>
      </w:r>
      <w:r>
        <w:rPr>
          <w:color w:val="000000" w:themeColor="text1"/>
        </w:rPr>
        <w:t>,</w:t>
      </w:r>
      <w:r>
        <w:rPr>
          <w:rFonts w:hint="eastAsia"/>
          <w:color w:val="000000" w:themeColor="text1"/>
        </w:rPr>
        <w:t>054</w:t>
      </w:r>
      <w:r>
        <w:rPr>
          <w:color w:val="000000" w:themeColor="text1"/>
        </w:rPr>
        <w:t>,</w:t>
      </w:r>
      <w:r>
        <w:rPr>
          <w:rFonts w:hint="eastAsia"/>
          <w:color w:val="000000" w:themeColor="text1"/>
        </w:rPr>
        <w:t>568</w:t>
      </w:r>
      <w:r>
        <w:rPr>
          <w:color w:val="000000" w:themeColor="text1"/>
        </w:rPr>
        <w:t>,</w:t>
      </w:r>
      <w:r>
        <w:rPr>
          <w:rFonts w:hint="eastAsia"/>
          <w:color w:val="000000" w:themeColor="text1"/>
        </w:rPr>
        <w:t>442</w:t>
      </w:r>
      <w:r>
        <w:rPr>
          <w:rFonts w:hint="eastAsia"/>
          <w:color w:val="000000" w:themeColor="text1"/>
        </w:rPr>
        <w:t>股为基数进行测算，拟派发现金红利</w:t>
      </w:r>
      <w:r>
        <w:rPr>
          <w:color w:val="000000" w:themeColor="text1"/>
        </w:rPr>
        <w:t>411,281,692.38</w:t>
      </w:r>
      <w:r>
        <w:rPr>
          <w:rFonts w:hint="eastAsia"/>
          <w:color w:val="000000" w:themeColor="text1"/>
        </w:rPr>
        <w:t>元（含税），占公司</w:t>
      </w:r>
      <w:r>
        <w:rPr>
          <w:rFonts w:hint="eastAsia"/>
          <w:color w:val="000000" w:themeColor="text1"/>
        </w:rPr>
        <w:t>2025</w:t>
      </w:r>
      <w:r>
        <w:rPr>
          <w:rFonts w:hint="eastAsia"/>
          <w:color w:val="000000" w:themeColor="text1"/>
        </w:rPr>
        <w:t>年上半年归属于上市公司股东净利润的</w:t>
      </w:r>
      <w:r>
        <w:rPr>
          <w:rFonts w:hint="eastAsia"/>
          <w:color w:val="000000" w:themeColor="text1"/>
        </w:rPr>
        <w:t>6</w:t>
      </w:r>
      <w:r>
        <w:rPr>
          <w:color w:val="000000" w:themeColor="text1"/>
        </w:rPr>
        <w:t>5.52</w:t>
      </w:r>
      <w:r>
        <w:rPr>
          <w:rFonts w:hint="eastAsia"/>
          <w:color w:val="000000" w:themeColor="text1"/>
        </w:rPr>
        <w:t>%</w:t>
      </w:r>
      <w:r>
        <w:rPr>
          <w:rFonts w:hint="eastAsia"/>
          <w:color w:val="000000" w:themeColor="text1"/>
        </w:rPr>
        <w:t>。</w:t>
      </w:r>
    </w:p>
    <w:p w14:paraId="73BDC653" w14:textId="2B34C8E5" w:rsidR="00F2757A" w:rsidRDefault="001B438C" w:rsidP="001A706A">
      <w:pPr>
        <w:kinsoku w:val="0"/>
        <w:overflowPunct w:val="0"/>
        <w:autoSpaceDE w:val="0"/>
        <w:autoSpaceDN w:val="0"/>
        <w:adjustRightInd w:val="0"/>
        <w:snapToGrid w:val="0"/>
        <w:spacing w:line="360" w:lineRule="auto"/>
        <w:ind w:firstLine="420"/>
        <w:rPr>
          <w:color w:val="000000" w:themeColor="text1"/>
        </w:rPr>
      </w:pPr>
      <w:r>
        <w:rPr>
          <w:rFonts w:hint="eastAsia"/>
          <w:color w:val="000000" w:themeColor="text1"/>
        </w:rPr>
        <w:t>本次利润分配不涉及差异化分红，如在利润分配方案公告披露之日起</w:t>
      </w:r>
      <w:proofErr w:type="gramStart"/>
      <w:r>
        <w:rPr>
          <w:rFonts w:hint="eastAsia"/>
          <w:color w:val="000000" w:themeColor="text1"/>
        </w:rPr>
        <w:t>至实施</w:t>
      </w:r>
      <w:proofErr w:type="gramEnd"/>
      <w:r>
        <w:rPr>
          <w:rFonts w:hint="eastAsia"/>
          <w:color w:val="000000" w:themeColor="text1"/>
        </w:rPr>
        <w:t>权益分派股权登记日期间，公司总股本发生变动的，</w:t>
      </w:r>
      <w:proofErr w:type="gramStart"/>
      <w:r w:rsidRPr="00D73F5A">
        <w:rPr>
          <w:rFonts w:hint="eastAsia"/>
          <w:color w:val="000000" w:themeColor="text1"/>
        </w:rPr>
        <w:t>拟维持</w:t>
      </w:r>
      <w:proofErr w:type="gramEnd"/>
      <w:r w:rsidRPr="00D73F5A">
        <w:rPr>
          <w:rFonts w:hint="eastAsia"/>
          <w:color w:val="000000" w:themeColor="text1"/>
        </w:rPr>
        <w:t>分配总额不变，相应调整每股现金分红金额</w:t>
      </w:r>
      <w:r>
        <w:rPr>
          <w:rFonts w:hint="eastAsia"/>
          <w:color w:val="000000" w:themeColor="text1"/>
        </w:rPr>
        <w:t>，并将另行公告具体调整情况。</w:t>
      </w:r>
    </w:p>
    <w:p w14:paraId="5B55FAF4" w14:textId="76B39F36" w:rsidR="00691ABA" w:rsidRDefault="001B438C">
      <w:pPr>
        <w:pStyle w:val="10"/>
        <w:spacing w:line="240" w:lineRule="auto"/>
        <w:rPr>
          <w:sz w:val="24"/>
          <w:szCs w:val="24"/>
        </w:rPr>
      </w:pPr>
      <w:r>
        <w:rPr>
          <w:rFonts w:hint="eastAsia"/>
          <w:sz w:val="24"/>
          <w:szCs w:val="24"/>
        </w:rPr>
        <w:t>第二节</w:t>
      </w:r>
      <w:r>
        <w:rPr>
          <w:rFonts w:hint="eastAsia"/>
          <w:sz w:val="24"/>
          <w:szCs w:val="24"/>
        </w:rPr>
        <w:t xml:space="preserve"> </w:t>
      </w:r>
      <w:r>
        <w:rPr>
          <w:rFonts w:hint="eastAsia"/>
          <w:sz w:val="24"/>
          <w:szCs w:val="24"/>
        </w:rPr>
        <w:t>公司基本情况</w:t>
      </w:r>
    </w:p>
    <w:p w14:paraId="0C894759" w14:textId="77777777" w:rsidR="00691ABA" w:rsidRDefault="001B438C">
      <w:pPr>
        <w:pStyle w:val="20"/>
        <w:numPr>
          <w:ilvl w:val="0"/>
          <w:numId w:val="23"/>
        </w:numPr>
        <w:spacing w:before="0" w:after="0" w:line="360" w:lineRule="auto"/>
        <w:ind w:left="0" w:firstLine="0"/>
        <w:rPr>
          <w:rFonts w:ascii="Times New Roman" w:hAnsi="Times New Roman"/>
          <w:color w:val="FF0000"/>
          <w:u w:val="single"/>
        </w:rPr>
      </w:pPr>
      <w:r>
        <w:rPr>
          <w:rFonts w:ascii="Times New Roman" w:hAnsi="Times New Roman" w:hint="eastAsia"/>
        </w:rPr>
        <w:t>公司简介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1779"/>
        <w:gridCol w:w="1779"/>
        <w:gridCol w:w="1778"/>
        <w:gridCol w:w="1778"/>
        <w:gridCol w:w="1778"/>
      </w:tblGrid>
      <w:tr w:rsidR="00691ABA" w14:paraId="7BE2D297" w14:textId="77777777" w:rsidTr="00051708">
        <w:trPr>
          <w:trHeight w:val="293"/>
        </w:trPr>
        <w:tc>
          <w:tcPr>
            <w:tcW w:w="5000" w:type="pct"/>
            <w:gridSpan w:val="5"/>
            <w:tcBorders>
              <w:top w:val="single" w:sz="4" w:space="0" w:color="auto"/>
              <w:bottom w:val="single" w:sz="4" w:space="0" w:color="auto"/>
            </w:tcBorders>
          </w:tcPr>
          <w:p w14:paraId="0982D99B" w14:textId="77777777" w:rsidR="00691ABA" w:rsidRDefault="001B438C">
            <w:pPr>
              <w:kinsoku w:val="0"/>
              <w:overflowPunct w:val="0"/>
              <w:autoSpaceDE w:val="0"/>
              <w:autoSpaceDN w:val="0"/>
              <w:adjustRightInd w:val="0"/>
              <w:snapToGrid w:val="0"/>
              <w:jc w:val="center"/>
              <w:rPr>
                <w:szCs w:val="21"/>
              </w:rPr>
            </w:pPr>
            <w:r>
              <w:rPr>
                <w:rFonts w:hint="eastAsia"/>
                <w:szCs w:val="21"/>
              </w:rPr>
              <w:t>公司股票简况</w:t>
            </w:r>
          </w:p>
        </w:tc>
      </w:tr>
      <w:tr w:rsidR="00691ABA" w14:paraId="5A6395FC" w14:textId="77777777" w:rsidTr="00051708">
        <w:trPr>
          <w:trHeight w:val="293"/>
        </w:trPr>
        <w:tc>
          <w:tcPr>
            <w:tcW w:w="1000" w:type="pct"/>
            <w:tcBorders>
              <w:top w:val="single" w:sz="4" w:space="0" w:color="auto"/>
              <w:bottom w:val="single" w:sz="4" w:space="0" w:color="auto"/>
              <w:right w:val="single" w:sz="4" w:space="0" w:color="auto"/>
            </w:tcBorders>
          </w:tcPr>
          <w:p w14:paraId="47B5EF67" w14:textId="77777777" w:rsidR="00691ABA" w:rsidRDefault="001B438C">
            <w:pPr>
              <w:kinsoku w:val="0"/>
              <w:overflowPunct w:val="0"/>
              <w:autoSpaceDE w:val="0"/>
              <w:autoSpaceDN w:val="0"/>
              <w:adjustRightInd w:val="0"/>
              <w:snapToGrid w:val="0"/>
              <w:jc w:val="center"/>
              <w:rPr>
                <w:szCs w:val="21"/>
              </w:rPr>
            </w:pPr>
            <w:r>
              <w:rPr>
                <w:rFonts w:hint="eastAsia"/>
                <w:szCs w:val="21"/>
              </w:rPr>
              <w:t>股票种类</w:t>
            </w:r>
          </w:p>
        </w:tc>
        <w:tc>
          <w:tcPr>
            <w:tcW w:w="1000" w:type="pct"/>
            <w:tcBorders>
              <w:top w:val="single" w:sz="4" w:space="0" w:color="auto"/>
              <w:left w:val="single" w:sz="4" w:space="0" w:color="auto"/>
              <w:bottom w:val="single" w:sz="4" w:space="0" w:color="auto"/>
              <w:right w:val="single" w:sz="4" w:space="0" w:color="auto"/>
            </w:tcBorders>
          </w:tcPr>
          <w:p w14:paraId="29AE28B2" w14:textId="77777777" w:rsidR="00691ABA" w:rsidRDefault="001B438C">
            <w:pPr>
              <w:kinsoku w:val="0"/>
              <w:overflowPunct w:val="0"/>
              <w:autoSpaceDE w:val="0"/>
              <w:autoSpaceDN w:val="0"/>
              <w:adjustRightInd w:val="0"/>
              <w:snapToGrid w:val="0"/>
              <w:jc w:val="center"/>
              <w:rPr>
                <w:szCs w:val="21"/>
              </w:rPr>
            </w:pPr>
            <w:r>
              <w:rPr>
                <w:rFonts w:hint="eastAsia"/>
                <w:szCs w:val="21"/>
              </w:rPr>
              <w:t>股票上市交易所</w:t>
            </w:r>
          </w:p>
        </w:tc>
        <w:tc>
          <w:tcPr>
            <w:tcW w:w="1000" w:type="pct"/>
            <w:tcBorders>
              <w:top w:val="single" w:sz="4" w:space="0" w:color="auto"/>
              <w:left w:val="single" w:sz="4" w:space="0" w:color="auto"/>
              <w:bottom w:val="single" w:sz="4" w:space="0" w:color="auto"/>
              <w:right w:val="single" w:sz="4" w:space="0" w:color="auto"/>
            </w:tcBorders>
          </w:tcPr>
          <w:p w14:paraId="195C0C2F" w14:textId="77777777" w:rsidR="00691ABA" w:rsidRDefault="001B438C">
            <w:pPr>
              <w:kinsoku w:val="0"/>
              <w:overflowPunct w:val="0"/>
              <w:autoSpaceDE w:val="0"/>
              <w:autoSpaceDN w:val="0"/>
              <w:adjustRightInd w:val="0"/>
              <w:snapToGrid w:val="0"/>
              <w:jc w:val="center"/>
              <w:rPr>
                <w:szCs w:val="21"/>
              </w:rPr>
            </w:pPr>
            <w:r>
              <w:rPr>
                <w:rFonts w:hint="eastAsia"/>
                <w:szCs w:val="21"/>
              </w:rPr>
              <w:t>股票简称</w:t>
            </w:r>
          </w:p>
        </w:tc>
        <w:tc>
          <w:tcPr>
            <w:tcW w:w="1000" w:type="pct"/>
            <w:tcBorders>
              <w:top w:val="single" w:sz="4" w:space="0" w:color="auto"/>
              <w:left w:val="single" w:sz="4" w:space="0" w:color="auto"/>
              <w:bottom w:val="single" w:sz="4" w:space="0" w:color="auto"/>
              <w:right w:val="single" w:sz="4" w:space="0" w:color="auto"/>
            </w:tcBorders>
          </w:tcPr>
          <w:p w14:paraId="7B4C208A" w14:textId="77777777" w:rsidR="00691ABA" w:rsidRDefault="001B438C">
            <w:pPr>
              <w:kinsoku w:val="0"/>
              <w:overflowPunct w:val="0"/>
              <w:autoSpaceDE w:val="0"/>
              <w:autoSpaceDN w:val="0"/>
              <w:adjustRightInd w:val="0"/>
              <w:snapToGrid w:val="0"/>
              <w:jc w:val="center"/>
              <w:rPr>
                <w:szCs w:val="21"/>
              </w:rPr>
            </w:pPr>
            <w:r>
              <w:rPr>
                <w:rFonts w:hint="eastAsia"/>
                <w:szCs w:val="21"/>
              </w:rPr>
              <w:t>股票代码</w:t>
            </w:r>
          </w:p>
        </w:tc>
        <w:tc>
          <w:tcPr>
            <w:tcW w:w="1000" w:type="pct"/>
            <w:tcBorders>
              <w:top w:val="single" w:sz="4" w:space="0" w:color="auto"/>
              <w:left w:val="single" w:sz="4" w:space="0" w:color="auto"/>
              <w:bottom w:val="single" w:sz="4" w:space="0" w:color="auto"/>
            </w:tcBorders>
          </w:tcPr>
          <w:p w14:paraId="32895A8D" w14:textId="77777777" w:rsidR="00691ABA" w:rsidRDefault="001B438C">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tr>
      <w:tr w:rsidR="00691ABA" w14:paraId="1084BF3D" w14:textId="77777777" w:rsidTr="00051708">
        <w:trPr>
          <w:trHeight w:val="293"/>
        </w:trPr>
        <w:tc>
          <w:tcPr>
            <w:tcW w:w="1000" w:type="pct"/>
            <w:tcBorders>
              <w:top w:val="single" w:sz="4" w:space="0" w:color="auto"/>
              <w:bottom w:val="single" w:sz="4" w:space="0" w:color="auto"/>
              <w:right w:val="single" w:sz="4" w:space="0" w:color="auto"/>
            </w:tcBorders>
          </w:tcPr>
          <w:p w14:paraId="397DB851" w14:textId="77777777" w:rsidR="00691ABA" w:rsidRDefault="001B438C">
            <w:pPr>
              <w:kinsoku w:val="0"/>
              <w:overflowPunct w:val="0"/>
              <w:autoSpaceDE w:val="0"/>
              <w:autoSpaceDN w:val="0"/>
              <w:adjustRightInd w:val="0"/>
              <w:snapToGrid w:val="0"/>
              <w:rPr>
                <w:color w:val="FFC000"/>
                <w:szCs w:val="21"/>
              </w:rPr>
            </w:pPr>
            <w:r>
              <w:rPr>
                <w:rFonts w:hint="eastAsia"/>
                <w:szCs w:val="21"/>
              </w:rPr>
              <w:t>A</w:t>
            </w:r>
            <w:r>
              <w:rPr>
                <w:rFonts w:hint="eastAsia"/>
                <w:szCs w:val="21"/>
              </w:rPr>
              <w:t>股</w:t>
            </w:r>
          </w:p>
        </w:tc>
        <w:tc>
          <w:tcPr>
            <w:tcW w:w="1000" w:type="pct"/>
            <w:tcBorders>
              <w:top w:val="single" w:sz="4" w:space="0" w:color="auto"/>
              <w:left w:val="single" w:sz="4" w:space="0" w:color="auto"/>
              <w:bottom w:val="single" w:sz="4" w:space="0" w:color="auto"/>
              <w:right w:val="single" w:sz="4" w:space="0" w:color="auto"/>
            </w:tcBorders>
          </w:tcPr>
          <w:p w14:paraId="2714D81D" w14:textId="77777777" w:rsidR="00691ABA" w:rsidRDefault="001B438C">
            <w:pPr>
              <w:kinsoku w:val="0"/>
              <w:overflowPunct w:val="0"/>
              <w:autoSpaceDE w:val="0"/>
              <w:autoSpaceDN w:val="0"/>
              <w:adjustRightInd w:val="0"/>
              <w:snapToGrid w:val="0"/>
              <w:rPr>
                <w:color w:val="FFC000"/>
                <w:szCs w:val="21"/>
              </w:rPr>
            </w:pPr>
            <w:r>
              <w:rPr>
                <w:rFonts w:hint="eastAsia"/>
                <w:szCs w:val="21"/>
              </w:rPr>
              <w:t>上海证券交易所</w:t>
            </w:r>
          </w:p>
        </w:tc>
        <w:tc>
          <w:tcPr>
            <w:tcW w:w="1000" w:type="pct"/>
            <w:tcBorders>
              <w:top w:val="single" w:sz="4" w:space="0" w:color="auto"/>
              <w:left w:val="single" w:sz="4" w:space="0" w:color="auto"/>
              <w:bottom w:val="single" w:sz="4" w:space="0" w:color="auto"/>
              <w:right w:val="single" w:sz="4" w:space="0" w:color="auto"/>
            </w:tcBorders>
          </w:tcPr>
          <w:p w14:paraId="65B39E75" w14:textId="77777777" w:rsidR="00691ABA" w:rsidRDefault="001B438C">
            <w:pPr>
              <w:kinsoku w:val="0"/>
              <w:overflowPunct w:val="0"/>
              <w:autoSpaceDE w:val="0"/>
              <w:autoSpaceDN w:val="0"/>
              <w:adjustRightInd w:val="0"/>
              <w:snapToGrid w:val="0"/>
              <w:rPr>
                <w:color w:val="FFC000"/>
                <w:szCs w:val="21"/>
              </w:rPr>
            </w:pPr>
            <w:r>
              <w:rPr>
                <w:rFonts w:hint="eastAsia"/>
                <w:szCs w:val="21"/>
              </w:rPr>
              <w:t>步长制药</w:t>
            </w:r>
          </w:p>
        </w:tc>
        <w:tc>
          <w:tcPr>
            <w:tcW w:w="1000" w:type="pct"/>
            <w:tcBorders>
              <w:top w:val="single" w:sz="4" w:space="0" w:color="auto"/>
              <w:left w:val="single" w:sz="4" w:space="0" w:color="auto"/>
              <w:bottom w:val="single" w:sz="4" w:space="0" w:color="auto"/>
              <w:right w:val="single" w:sz="4" w:space="0" w:color="auto"/>
            </w:tcBorders>
          </w:tcPr>
          <w:p w14:paraId="36D2EB1C" w14:textId="77777777" w:rsidR="00691ABA" w:rsidRDefault="001B438C">
            <w:pPr>
              <w:kinsoku w:val="0"/>
              <w:overflowPunct w:val="0"/>
              <w:autoSpaceDE w:val="0"/>
              <w:autoSpaceDN w:val="0"/>
              <w:adjustRightInd w:val="0"/>
              <w:snapToGrid w:val="0"/>
              <w:rPr>
                <w:color w:val="FFC000"/>
                <w:szCs w:val="21"/>
              </w:rPr>
            </w:pPr>
            <w:r>
              <w:rPr>
                <w:rFonts w:hint="eastAsia"/>
                <w:szCs w:val="21"/>
              </w:rPr>
              <w:t>603858</w:t>
            </w:r>
          </w:p>
        </w:tc>
        <w:tc>
          <w:tcPr>
            <w:tcW w:w="1000" w:type="pct"/>
            <w:tcBorders>
              <w:top w:val="single" w:sz="4" w:space="0" w:color="auto"/>
              <w:left w:val="single" w:sz="4" w:space="0" w:color="auto"/>
              <w:bottom w:val="single" w:sz="4" w:space="0" w:color="auto"/>
            </w:tcBorders>
          </w:tcPr>
          <w:p w14:paraId="54926DA2" w14:textId="77777777" w:rsidR="00691ABA" w:rsidRDefault="001B438C">
            <w:pPr>
              <w:kinsoku w:val="0"/>
              <w:overflowPunct w:val="0"/>
              <w:autoSpaceDE w:val="0"/>
              <w:autoSpaceDN w:val="0"/>
              <w:adjustRightInd w:val="0"/>
              <w:snapToGrid w:val="0"/>
              <w:rPr>
                <w:color w:val="FFC000"/>
                <w:szCs w:val="21"/>
              </w:rPr>
            </w:pPr>
            <w:r>
              <w:rPr>
                <w:rFonts w:hint="eastAsia"/>
                <w:szCs w:val="21"/>
              </w:rPr>
              <w:t>无</w:t>
            </w:r>
          </w:p>
        </w:tc>
      </w:tr>
    </w:tbl>
    <w:p w14:paraId="4FA94367" w14:textId="77777777" w:rsidR="00691ABA" w:rsidRDefault="00691ABA"/>
    <w:tbl>
      <w:tblPr>
        <w:tblStyle w:val="a7"/>
        <w:tblW w:w="5000" w:type="pct"/>
        <w:jc w:val="center"/>
        <w:tblLook w:val="04A0" w:firstRow="1" w:lastRow="0" w:firstColumn="1" w:lastColumn="0" w:noHBand="0" w:noVBand="1"/>
      </w:tblPr>
      <w:tblGrid>
        <w:gridCol w:w="1949"/>
        <w:gridCol w:w="3619"/>
        <w:gridCol w:w="3480"/>
      </w:tblGrid>
      <w:tr w:rsidR="00691ABA" w14:paraId="357730F2" w14:textId="77777777" w:rsidTr="00A4338D">
        <w:trPr>
          <w:jc w:val="center"/>
        </w:trPr>
        <w:tc>
          <w:tcPr>
            <w:tcW w:w="1077" w:type="pct"/>
          </w:tcPr>
          <w:p w14:paraId="2B8BA1C2" w14:textId="77777777" w:rsidR="00691ABA" w:rsidRDefault="001B438C">
            <w:pPr>
              <w:kinsoku w:val="0"/>
              <w:overflowPunct w:val="0"/>
              <w:autoSpaceDE w:val="0"/>
              <w:autoSpaceDN w:val="0"/>
              <w:adjustRightInd w:val="0"/>
              <w:snapToGrid w:val="0"/>
              <w:jc w:val="center"/>
              <w:rPr>
                <w:szCs w:val="21"/>
              </w:rPr>
            </w:pPr>
            <w:r>
              <w:rPr>
                <w:rFonts w:cs="宋体" w:hint="eastAsia"/>
                <w:szCs w:val="21"/>
              </w:rPr>
              <w:t>联系人和联系方式</w:t>
            </w:r>
          </w:p>
        </w:tc>
        <w:tc>
          <w:tcPr>
            <w:tcW w:w="2000" w:type="pct"/>
          </w:tcPr>
          <w:p w14:paraId="26C95310" w14:textId="77777777" w:rsidR="00691ABA" w:rsidRDefault="001B438C">
            <w:pPr>
              <w:kinsoku w:val="0"/>
              <w:overflowPunct w:val="0"/>
              <w:autoSpaceDE w:val="0"/>
              <w:autoSpaceDN w:val="0"/>
              <w:adjustRightInd w:val="0"/>
              <w:snapToGrid w:val="0"/>
              <w:jc w:val="center"/>
              <w:rPr>
                <w:szCs w:val="21"/>
              </w:rPr>
            </w:pPr>
            <w:r>
              <w:rPr>
                <w:rFonts w:cs="宋体" w:hint="eastAsia"/>
                <w:szCs w:val="21"/>
              </w:rPr>
              <w:t>董事会秘书</w:t>
            </w:r>
          </w:p>
        </w:tc>
        <w:tc>
          <w:tcPr>
            <w:tcW w:w="1923" w:type="pct"/>
          </w:tcPr>
          <w:p w14:paraId="14846083" w14:textId="77777777" w:rsidR="00691ABA" w:rsidRDefault="001B438C">
            <w:pPr>
              <w:kinsoku w:val="0"/>
              <w:overflowPunct w:val="0"/>
              <w:autoSpaceDE w:val="0"/>
              <w:autoSpaceDN w:val="0"/>
              <w:adjustRightInd w:val="0"/>
              <w:snapToGrid w:val="0"/>
              <w:jc w:val="center"/>
              <w:rPr>
                <w:szCs w:val="21"/>
              </w:rPr>
            </w:pPr>
            <w:r>
              <w:rPr>
                <w:rFonts w:cs="宋体" w:hint="eastAsia"/>
                <w:szCs w:val="21"/>
              </w:rPr>
              <w:t>证券事务代表</w:t>
            </w:r>
          </w:p>
        </w:tc>
      </w:tr>
      <w:tr w:rsidR="00691ABA" w14:paraId="13123349" w14:textId="77777777" w:rsidTr="00A4338D">
        <w:trPr>
          <w:jc w:val="center"/>
        </w:trPr>
        <w:tc>
          <w:tcPr>
            <w:tcW w:w="1077" w:type="pct"/>
          </w:tcPr>
          <w:p w14:paraId="389D85F6" w14:textId="77777777" w:rsidR="00691ABA" w:rsidRDefault="001B438C">
            <w:pPr>
              <w:kinsoku w:val="0"/>
              <w:overflowPunct w:val="0"/>
              <w:autoSpaceDE w:val="0"/>
              <w:autoSpaceDN w:val="0"/>
              <w:adjustRightInd w:val="0"/>
              <w:snapToGrid w:val="0"/>
              <w:jc w:val="center"/>
              <w:rPr>
                <w:szCs w:val="21"/>
              </w:rPr>
            </w:pPr>
            <w:r>
              <w:rPr>
                <w:rFonts w:cs="宋体" w:hint="eastAsia"/>
                <w:szCs w:val="21"/>
              </w:rPr>
              <w:t>姓名</w:t>
            </w:r>
          </w:p>
        </w:tc>
        <w:tc>
          <w:tcPr>
            <w:tcW w:w="2000" w:type="pct"/>
            <w:vAlign w:val="center"/>
          </w:tcPr>
          <w:p w14:paraId="0E29043D" w14:textId="77777777" w:rsidR="00691ABA" w:rsidRDefault="001B438C">
            <w:pPr>
              <w:kinsoku w:val="0"/>
              <w:overflowPunct w:val="0"/>
              <w:autoSpaceDE w:val="0"/>
              <w:autoSpaceDN w:val="0"/>
              <w:adjustRightInd w:val="0"/>
              <w:snapToGrid w:val="0"/>
              <w:jc w:val="left"/>
              <w:rPr>
                <w:szCs w:val="21"/>
              </w:rPr>
            </w:pPr>
            <w:r>
              <w:rPr>
                <w:szCs w:val="21"/>
              </w:rPr>
              <w:t>王新</w:t>
            </w:r>
          </w:p>
        </w:tc>
        <w:tc>
          <w:tcPr>
            <w:tcW w:w="1923" w:type="pct"/>
            <w:vAlign w:val="center"/>
          </w:tcPr>
          <w:p w14:paraId="569451C7" w14:textId="77777777" w:rsidR="00691ABA" w:rsidRDefault="001B438C">
            <w:pPr>
              <w:kinsoku w:val="0"/>
              <w:overflowPunct w:val="0"/>
              <w:autoSpaceDE w:val="0"/>
              <w:autoSpaceDN w:val="0"/>
              <w:adjustRightInd w:val="0"/>
              <w:snapToGrid w:val="0"/>
              <w:jc w:val="left"/>
              <w:rPr>
                <w:szCs w:val="21"/>
              </w:rPr>
            </w:pPr>
            <w:r>
              <w:rPr>
                <w:szCs w:val="21"/>
              </w:rPr>
              <w:t>吴兵</w:t>
            </w:r>
          </w:p>
        </w:tc>
      </w:tr>
      <w:tr w:rsidR="00691ABA" w14:paraId="68BD1D4F" w14:textId="77777777" w:rsidTr="00A4338D">
        <w:trPr>
          <w:jc w:val="center"/>
        </w:trPr>
        <w:tc>
          <w:tcPr>
            <w:tcW w:w="1077" w:type="pct"/>
          </w:tcPr>
          <w:p w14:paraId="3C4631E4" w14:textId="77777777" w:rsidR="00691ABA" w:rsidRDefault="001B438C">
            <w:pPr>
              <w:kinsoku w:val="0"/>
              <w:overflowPunct w:val="0"/>
              <w:autoSpaceDE w:val="0"/>
              <w:autoSpaceDN w:val="0"/>
              <w:adjustRightInd w:val="0"/>
              <w:snapToGrid w:val="0"/>
              <w:jc w:val="center"/>
              <w:rPr>
                <w:szCs w:val="21"/>
              </w:rPr>
            </w:pPr>
            <w:r>
              <w:rPr>
                <w:rFonts w:hint="eastAsia"/>
                <w:szCs w:val="21"/>
              </w:rPr>
              <w:t>电话</w:t>
            </w:r>
          </w:p>
        </w:tc>
        <w:tc>
          <w:tcPr>
            <w:tcW w:w="2000" w:type="pct"/>
            <w:vAlign w:val="center"/>
          </w:tcPr>
          <w:p w14:paraId="6BF4BE69" w14:textId="77777777" w:rsidR="00691ABA" w:rsidRDefault="001B438C">
            <w:pPr>
              <w:kinsoku w:val="0"/>
              <w:overflowPunct w:val="0"/>
              <w:autoSpaceDE w:val="0"/>
              <w:autoSpaceDN w:val="0"/>
              <w:adjustRightInd w:val="0"/>
              <w:snapToGrid w:val="0"/>
              <w:jc w:val="left"/>
              <w:rPr>
                <w:szCs w:val="21"/>
              </w:rPr>
            </w:pPr>
            <w:r>
              <w:rPr>
                <w:szCs w:val="21"/>
              </w:rPr>
              <w:t>0530-5299167</w:t>
            </w:r>
          </w:p>
        </w:tc>
        <w:tc>
          <w:tcPr>
            <w:tcW w:w="1923" w:type="pct"/>
            <w:vAlign w:val="center"/>
          </w:tcPr>
          <w:p w14:paraId="2739A008" w14:textId="77777777" w:rsidR="00691ABA" w:rsidRDefault="001B438C">
            <w:pPr>
              <w:kinsoku w:val="0"/>
              <w:overflowPunct w:val="0"/>
              <w:autoSpaceDE w:val="0"/>
              <w:autoSpaceDN w:val="0"/>
              <w:adjustRightInd w:val="0"/>
              <w:snapToGrid w:val="0"/>
              <w:jc w:val="left"/>
              <w:rPr>
                <w:szCs w:val="21"/>
              </w:rPr>
            </w:pPr>
            <w:r>
              <w:rPr>
                <w:szCs w:val="21"/>
              </w:rPr>
              <w:t>0530-5299167</w:t>
            </w:r>
          </w:p>
        </w:tc>
      </w:tr>
      <w:tr w:rsidR="00691ABA" w14:paraId="49B9619E" w14:textId="77777777" w:rsidTr="00A4338D">
        <w:trPr>
          <w:jc w:val="center"/>
        </w:trPr>
        <w:tc>
          <w:tcPr>
            <w:tcW w:w="1077" w:type="pct"/>
          </w:tcPr>
          <w:p w14:paraId="3A1A47B3" w14:textId="77777777" w:rsidR="00691ABA" w:rsidRDefault="001B438C">
            <w:pPr>
              <w:kinsoku w:val="0"/>
              <w:overflowPunct w:val="0"/>
              <w:autoSpaceDE w:val="0"/>
              <w:autoSpaceDN w:val="0"/>
              <w:adjustRightInd w:val="0"/>
              <w:snapToGrid w:val="0"/>
              <w:jc w:val="center"/>
              <w:rPr>
                <w:szCs w:val="21"/>
              </w:rPr>
            </w:pPr>
            <w:r>
              <w:rPr>
                <w:rFonts w:hint="eastAsia"/>
                <w:szCs w:val="21"/>
              </w:rPr>
              <w:t>办公地址</w:t>
            </w:r>
          </w:p>
        </w:tc>
        <w:tc>
          <w:tcPr>
            <w:tcW w:w="2000" w:type="pct"/>
            <w:vAlign w:val="center"/>
          </w:tcPr>
          <w:p w14:paraId="1D3D7C5D" w14:textId="77777777" w:rsidR="00691ABA" w:rsidRDefault="001B438C">
            <w:pPr>
              <w:kinsoku w:val="0"/>
              <w:overflowPunct w:val="0"/>
              <w:autoSpaceDE w:val="0"/>
              <w:autoSpaceDN w:val="0"/>
              <w:adjustRightInd w:val="0"/>
              <w:snapToGrid w:val="0"/>
              <w:jc w:val="left"/>
              <w:rPr>
                <w:szCs w:val="21"/>
              </w:rPr>
            </w:pPr>
            <w:r>
              <w:rPr>
                <w:szCs w:val="21"/>
              </w:rPr>
              <w:t>山东省菏泽市牡丹区中华西路</w:t>
            </w:r>
            <w:r>
              <w:rPr>
                <w:szCs w:val="21"/>
              </w:rPr>
              <w:t>369</w:t>
            </w:r>
            <w:r>
              <w:rPr>
                <w:szCs w:val="21"/>
              </w:rPr>
              <w:t>号</w:t>
            </w:r>
          </w:p>
        </w:tc>
        <w:tc>
          <w:tcPr>
            <w:tcW w:w="1923" w:type="pct"/>
            <w:vAlign w:val="center"/>
          </w:tcPr>
          <w:p w14:paraId="5AD8C98F" w14:textId="77777777" w:rsidR="00691ABA" w:rsidRDefault="001B438C">
            <w:pPr>
              <w:kinsoku w:val="0"/>
              <w:overflowPunct w:val="0"/>
              <w:autoSpaceDE w:val="0"/>
              <w:autoSpaceDN w:val="0"/>
              <w:adjustRightInd w:val="0"/>
              <w:snapToGrid w:val="0"/>
              <w:jc w:val="left"/>
              <w:rPr>
                <w:szCs w:val="21"/>
              </w:rPr>
            </w:pPr>
            <w:r>
              <w:rPr>
                <w:szCs w:val="21"/>
              </w:rPr>
              <w:t>山东省菏泽市牡丹区中华西路</w:t>
            </w:r>
            <w:r>
              <w:rPr>
                <w:szCs w:val="21"/>
              </w:rPr>
              <w:t>369</w:t>
            </w:r>
            <w:r>
              <w:rPr>
                <w:szCs w:val="21"/>
              </w:rPr>
              <w:t>号</w:t>
            </w:r>
          </w:p>
        </w:tc>
      </w:tr>
      <w:tr w:rsidR="00691ABA" w14:paraId="7F6B2631" w14:textId="77777777" w:rsidTr="00A4338D">
        <w:trPr>
          <w:jc w:val="center"/>
        </w:trPr>
        <w:tc>
          <w:tcPr>
            <w:tcW w:w="1077" w:type="pct"/>
          </w:tcPr>
          <w:p w14:paraId="67E2CF1A" w14:textId="77777777" w:rsidR="00691ABA" w:rsidRDefault="001B438C">
            <w:pPr>
              <w:kinsoku w:val="0"/>
              <w:overflowPunct w:val="0"/>
              <w:autoSpaceDE w:val="0"/>
              <w:autoSpaceDN w:val="0"/>
              <w:adjustRightInd w:val="0"/>
              <w:snapToGrid w:val="0"/>
              <w:jc w:val="center"/>
              <w:rPr>
                <w:szCs w:val="21"/>
              </w:rPr>
            </w:pPr>
            <w:r>
              <w:rPr>
                <w:rFonts w:hint="eastAsia"/>
                <w:szCs w:val="21"/>
              </w:rPr>
              <w:t>电子信箱</w:t>
            </w:r>
          </w:p>
        </w:tc>
        <w:tc>
          <w:tcPr>
            <w:tcW w:w="2000" w:type="pct"/>
            <w:vAlign w:val="center"/>
          </w:tcPr>
          <w:p w14:paraId="032FF715" w14:textId="77777777" w:rsidR="00691ABA" w:rsidRDefault="001B438C">
            <w:pPr>
              <w:kinsoku w:val="0"/>
              <w:overflowPunct w:val="0"/>
              <w:autoSpaceDE w:val="0"/>
              <w:autoSpaceDN w:val="0"/>
              <w:adjustRightInd w:val="0"/>
              <w:snapToGrid w:val="0"/>
              <w:jc w:val="left"/>
              <w:rPr>
                <w:szCs w:val="21"/>
              </w:rPr>
            </w:pPr>
            <w:r>
              <w:rPr>
                <w:szCs w:val="21"/>
              </w:rPr>
              <w:t>ir@buchang.com</w:t>
            </w:r>
          </w:p>
        </w:tc>
        <w:tc>
          <w:tcPr>
            <w:tcW w:w="1923" w:type="pct"/>
            <w:vAlign w:val="center"/>
          </w:tcPr>
          <w:p w14:paraId="6226A3EA" w14:textId="77777777" w:rsidR="00691ABA" w:rsidRDefault="001B438C">
            <w:pPr>
              <w:kinsoku w:val="0"/>
              <w:overflowPunct w:val="0"/>
              <w:autoSpaceDE w:val="0"/>
              <w:autoSpaceDN w:val="0"/>
              <w:adjustRightInd w:val="0"/>
              <w:snapToGrid w:val="0"/>
              <w:jc w:val="left"/>
              <w:rPr>
                <w:szCs w:val="21"/>
              </w:rPr>
            </w:pPr>
            <w:r>
              <w:rPr>
                <w:szCs w:val="21"/>
              </w:rPr>
              <w:t>ir@buchang.com</w:t>
            </w:r>
          </w:p>
        </w:tc>
      </w:tr>
    </w:tbl>
    <w:p w14:paraId="4CA52301" w14:textId="42025F6F" w:rsidR="00691ABA" w:rsidRDefault="00691ABA">
      <w:pPr>
        <w:kinsoku w:val="0"/>
        <w:overflowPunct w:val="0"/>
        <w:autoSpaceDE w:val="0"/>
        <w:autoSpaceDN w:val="0"/>
        <w:adjustRightInd w:val="0"/>
        <w:snapToGrid w:val="0"/>
        <w:rPr>
          <w:szCs w:val="21"/>
        </w:rPr>
      </w:pPr>
    </w:p>
    <w:p w14:paraId="763CCB48" w14:textId="64526EF1" w:rsidR="00691ABA" w:rsidRDefault="001B438C">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lastRenderedPageBreak/>
        <w:t>主要财务数据</w:t>
      </w:r>
    </w:p>
    <w:p w14:paraId="7DC5E15F" w14:textId="653C8EFB" w:rsidR="00691ABA" w:rsidRPr="00A4338D" w:rsidRDefault="001B438C" w:rsidP="00A4338D">
      <w:pPr>
        <w:jc w:val="right"/>
        <w:rPr>
          <w:szCs w:val="21"/>
        </w:rPr>
      </w:pPr>
      <w:r>
        <w:rPr>
          <w:rFonts w:hint="eastAsia"/>
          <w:szCs w:val="21"/>
        </w:rPr>
        <w:t>单位：元</w:t>
      </w:r>
      <w:r>
        <w:rPr>
          <w:rFonts w:hint="eastAsia"/>
          <w:szCs w:val="21"/>
        </w:rPr>
        <w:t xml:space="preserve">  </w:t>
      </w:r>
      <w:r>
        <w:rPr>
          <w:rFonts w:hint="eastAsia"/>
          <w:szCs w:val="21"/>
        </w:rPr>
        <w:t>币种：人民币</w:t>
      </w:r>
    </w:p>
    <w:tbl>
      <w:tblPr>
        <w:tblStyle w:val="a7"/>
        <w:tblW w:w="5386" w:type="pct"/>
        <w:jc w:val="center"/>
        <w:tblLook w:val="04A0" w:firstRow="1" w:lastRow="0" w:firstColumn="1" w:lastColumn="0" w:noHBand="0" w:noVBand="1"/>
      </w:tblPr>
      <w:tblGrid>
        <w:gridCol w:w="3011"/>
        <w:gridCol w:w="1840"/>
        <w:gridCol w:w="1791"/>
        <w:gridCol w:w="3105"/>
      </w:tblGrid>
      <w:tr w:rsidR="00691ABA" w14:paraId="2BC20E9C" w14:textId="77777777" w:rsidTr="00A4338D">
        <w:trPr>
          <w:jc w:val="center"/>
        </w:trPr>
        <w:tc>
          <w:tcPr>
            <w:tcW w:w="1544" w:type="pct"/>
            <w:vAlign w:val="center"/>
          </w:tcPr>
          <w:p w14:paraId="055FD259" w14:textId="77777777" w:rsidR="00691ABA" w:rsidRDefault="00691ABA">
            <w:pPr>
              <w:kinsoku w:val="0"/>
              <w:overflowPunct w:val="0"/>
              <w:autoSpaceDE w:val="0"/>
              <w:autoSpaceDN w:val="0"/>
              <w:adjustRightInd w:val="0"/>
              <w:snapToGrid w:val="0"/>
              <w:jc w:val="center"/>
              <w:rPr>
                <w:szCs w:val="21"/>
              </w:rPr>
            </w:pPr>
          </w:p>
        </w:tc>
        <w:tc>
          <w:tcPr>
            <w:tcW w:w="944" w:type="pct"/>
            <w:vAlign w:val="center"/>
          </w:tcPr>
          <w:p w14:paraId="481550CF" w14:textId="77777777" w:rsidR="00691ABA" w:rsidRDefault="001B438C">
            <w:pPr>
              <w:kinsoku w:val="0"/>
              <w:overflowPunct w:val="0"/>
              <w:autoSpaceDE w:val="0"/>
              <w:autoSpaceDN w:val="0"/>
              <w:adjustRightInd w:val="0"/>
              <w:snapToGrid w:val="0"/>
              <w:jc w:val="center"/>
              <w:rPr>
                <w:szCs w:val="21"/>
              </w:rPr>
            </w:pPr>
            <w:r>
              <w:t>本报告期末</w:t>
            </w:r>
          </w:p>
        </w:tc>
        <w:tc>
          <w:tcPr>
            <w:tcW w:w="919" w:type="pct"/>
            <w:vAlign w:val="center"/>
          </w:tcPr>
          <w:p w14:paraId="74CA030B" w14:textId="77777777" w:rsidR="00691ABA" w:rsidRDefault="001B438C">
            <w:pPr>
              <w:kinsoku w:val="0"/>
              <w:overflowPunct w:val="0"/>
              <w:autoSpaceDE w:val="0"/>
              <w:autoSpaceDN w:val="0"/>
              <w:adjustRightInd w:val="0"/>
              <w:snapToGrid w:val="0"/>
              <w:jc w:val="center"/>
              <w:rPr>
                <w:szCs w:val="21"/>
              </w:rPr>
            </w:pPr>
            <w:r>
              <w:t>上年度末</w:t>
            </w:r>
          </w:p>
        </w:tc>
        <w:tc>
          <w:tcPr>
            <w:tcW w:w="1593" w:type="pct"/>
            <w:vAlign w:val="center"/>
          </w:tcPr>
          <w:p w14:paraId="04E3A1C7" w14:textId="77777777" w:rsidR="00691ABA" w:rsidRDefault="001B438C">
            <w:pPr>
              <w:kinsoku w:val="0"/>
              <w:overflowPunct w:val="0"/>
              <w:autoSpaceDE w:val="0"/>
              <w:autoSpaceDN w:val="0"/>
              <w:adjustRightInd w:val="0"/>
              <w:snapToGrid w:val="0"/>
              <w:jc w:val="center"/>
              <w:rPr>
                <w:szCs w:val="21"/>
              </w:rPr>
            </w:pPr>
            <w:r>
              <w:t>本报告期末比上年度末增减</w:t>
            </w:r>
            <w:r>
              <w:t>(%)</w:t>
            </w:r>
          </w:p>
        </w:tc>
      </w:tr>
      <w:tr w:rsidR="00691ABA" w14:paraId="70047C99" w14:textId="77777777" w:rsidTr="00A4338D">
        <w:trPr>
          <w:jc w:val="center"/>
        </w:trPr>
        <w:tc>
          <w:tcPr>
            <w:tcW w:w="1544" w:type="pct"/>
            <w:vAlign w:val="center"/>
          </w:tcPr>
          <w:p w14:paraId="4EB73CCE" w14:textId="77777777" w:rsidR="00691ABA" w:rsidRDefault="001B438C">
            <w:pPr>
              <w:kinsoku w:val="0"/>
              <w:overflowPunct w:val="0"/>
              <w:autoSpaceDE w:val="0"/>
              <w:autoSpaceDN w:val="0"/>
              <w:adjustRightInd w:val="0"/>
              <w:snapToGrid w:val="0"/>
              <w:rPr>
                <w:szCs w:val="21"/>
              </w:rPr>
            </w:pPr>
            <w:r>
              <w:rPr>
                <w:rFonts w:cs="宋体" w:hint="eastAsia"/>
                <w:szCs w:val="21"/>
              </w:rPr>
              <w:t>总资产</w:t>
            </w:r>
          </w:p>
        </w:tc>
        <w:tc>
          <w:tcPr>
            <w:tcW w:w="944" w:type="pct"/>
            <w:vAlign w:val="center"/>
          </w:tcPr>
          <w:p w14:paraId="66A48546" w14:textId="77777777" w:rsidR="00691ABA" w:rsidRDefault="001B438C">
            <w:pPr>
              <w:kinsoku w:val="0"/>
              <w:overflowPunct w:val="0"/>
              <w:autoSpaceDE w:val="0"/>
              <w:autoSpaceDN w:val="0"/>
              <w:adjustRightInd w:val="0"/>
              <w:snapToGrid w:val="0"/>
              <w:jc w:val="right"/>
              <w:rPr>
                <w:szCs w:val="21"/>
              </w:rPr>
            </w:pPr>
            <w:r>
              <w:rPr>
                <w:szCs w:val="21"/>
              </w:rPr>
              <w:t>19,976,882,311.05</w:t>
            </w:r>
          </w:p>
        </w:tc>
        <w:tc>
          <w:tcPr>
            <w:tcW w:w="919" w:type="pct"/>
            <w:vAlign w:val="center"/>
          </w:tcPr>
          <w:p w14:paraId="5099B17C" w14:textId="77777777" w:rsidR="00691ABA" w:rsidRDefault="001B438C">
            <w:pPr>
              <w:kinsoku w:val="0"/>
              <w:overflowPunct w:val="0"/>
              <w:autoSpaceDE w:val="0"/>
              <w:autoSpaceDN w:val="0"/>
              <w:adjustRightInd w:val="0"/>
              <w:snapToGrid w:val="0"/>
              <w:jc w:val="right"/>
              <w:rPr>
                <w:szCs w:val="21"/>
              </w:rPr>
            </w:pPr>
            <w:r>
              <w:rPr>
                <w:szCs w:val="21"/>
              </w:rPr>
              <w:t>19,328,509,108.36</w:t>
            </w:r>
          </w:p>
        </w:tc>
        <w:tc>
          <w:tcPr>
            <w:tcW w:w="1593" w:type="pct"/>
            <w:vAlign w:val="center"/>
          </w:tcPr>
          <w:p w14:paraId="333AC0D5" w14:textId="77777777" w:rsidR="00691ABA" w:rsidRDefault="001B438C">
            <w:pPr>
              <w:kinsoku w:val="0"/>
              <w:overflowPunct w:val="0"/>
              <w:autoSpaceDE w:val="0"/>
              <w:autoSpaceDN w:val="0"/>
              <w:adjustRightInd w:val="0"/>
              <w:snapToGrid w:val="0"/>
              <w:jc w:val="right"/>
              <w:rPr>
                <w:szCs w:val="21"/>
              </w:rPr>
            </w:pPr>
            <w:r>
              <w:rPr>
                <w:szCs w:val="21"/>
              </w:rPr>
              <w:t>3.35</w:t>
            </w:r>
          </w:p>
        </w:tc>
      </w:tr>
      <w:tr w:rsidR="00691ABA" w14:paraId="131315B5" w14:textId="77777777" w:rsidTr="00A4338D">
        <w:trPr>
          <w:jc w:val="center"/>
        </w:trPr>
        <w:tc>
          <w:tcPr>
            <w:tcW w:w="1544" w:type="pct"/>
            <w:vAlign w:val="center"/>
          </w:tcPr>
          <w:p w14:paraId="772CF5E3" w14:textId="77777777" w:rsidR="00691ABA" w:rsidRDefault="001B438C">
            <w:pPr>
              <w:kinsoku w:val="0"/>
              <w:overflowPunct w:val="0"/>
              <w:autoSpaceDE w:val="0"/>
              <w:autoSpaceDN w:val="0"/>
              <w:adjustRightInd w:val="0"/>
              <w:snapToGrid w:val="0"/>
              <w:rPr>
                <w:szCs w:val="21"/>
              </w:rPr>
            </w:pPr>
            <w:r>
              <w:rPr>
                <w:rFonts w:cs="宋体" w:hint="eastAsia"/>
                <w:szCs w:val="21"/>
              </w:rPr>
              <w:t>归属于上市公司股东的净资产</w:t>
            </w:r>
          </w:p>
        </w:tc>
        <w:tc>
          <w:tcPr>
            <w:tcW w:w="944" w:type="pct"/>
            <w:vAlign w:val="center"/>
          </w:tcPr>
          <w:p w14:paraId="12E1EC7F" w14:textId="77777777" w:rsidR="00691ABA" w:rsidRDefault="001B438C">
            <w:pPr>
              <w:kinsoku w:val="0"/>
              <w:overflowPunct w:val="0"/>
              <w:autoSpaceDE w:val="0"/>
              <w:autoSpaceDN w:val="0"/>
              <w:adjustRightInd w:val="0"/>
              <w:snapToGrid w:val="0"/>
              <w:jc w:val="right"/>
              <w:rPr>
                <w:szCs w:val="21"/>
              </w:rPr>
            </w:pPr>
            <w:r>
              <w:rPr>
                <w:szCs w:val="21"/>
              </w:rPr>
              <w:t>10,744,012,327.42</w:t>
            </w:r>
          </w:p>
        </w:tc>
        <w:tc>
          <w:tcPr>
            <w:tcW w:w="919" w:type="pct"/>
            <w:vAlign w:val="center"/>
          </w:tcPr>
          <w:p w14:paraId="003A6E53" w14:textId="77777777" w:rsidR="00691ABA" w:rsidRDefault="001B438C">
            <w:pPr>
              <w:kinsoku w:val="0"/>
              <w:overflowPunct w:val="0"/>
              <w:autoSpaceDE w:val="0"/>
              <w:autoSpaceDN w:val="0"/>
              <w:adjustRightInd w:val="0"/>
              <w:snapToGrid w:val="0"/>
              <w:jc w:val="right"/>
              <w:rPr>
                <w:szCs w:val="21"/>
              </w:rPr>
            </w:pPr>
            <w:r>
              <w:rPr>
                <w:szCs w:val="21"/>
              </w:rPr>
              <w:t>10,216,464,921.09</w:t>
            </w:r>
          </w:p>
        </w:tc>
        <w:tc>
          <w:tcPr>
            <w:tcW w:w="1593" w:type="pct"/>
            <w:vAlign w:val="center"/>
          </w:tcPr>
          <w:p w14:paraId="5CA723BE" w14:textId="77777777" w:rsidR="00691ABA" w:rsidRDefault="001B438C">
            <w:pPr>
              <w:kinsoku w:val="0"/>
              <w:overflowPunct w:val="0"/>
              <w:autoSpaceDE w:val="0"/>
              <w:autoSpaceDN w:val="0"/>
              <w:adjustRightInd w:val="0"/>
              <w:snapToGrid w:val="0"/>
              <w:jc w:val="right"/>
              <w:rPr>
                <w:szCs w:val="21"/>
              </w:rPr>
            </w:pPr>
            <w:r>
              <w:rPr>
                <w:szCs w:val="21"/>
              </w:rPr>
              <w:t>5.16</w:t>
            </w:r>
          </w:p>
        </w:tc>
      </w:tr>
      <w:tr w:rsidR="00691ABA" w14:paraId="00045546" w14:textId="77777777" w:rsidTr="00A4338D">
        <w:trPr>
          <w:jc w:val="center"/>
        </w:trPr>
        <w:tc>
          <w:tcPr>
            <w:tcW w:w="1544" w:type="pct"/>
            <w:vAlign w:val="center"/>
          </w:tcPr>
          <w:p w14:paraId="5E346EE9" w14:textId="77777777" w:rsidR="00691ABA" w:rsidRDefault="00691ABA">
            <w:pPr>
              <w:kinsoku w:val="0"/>
              <w:overflowPunct w:val="0"/>
              <w:autoSpaceDE w:val="0"/>
              <w:autoSpaceDN w:val="0"/>
              <w:adjustRightInd w:val="0"/>
              <w:snapToGrid w:val="0"/>
              <w:jc w:val="center"/>
              <w:rPr>
                <w:szCs w:val="21"/>
              </w:rPr>
            </w:pPr>
          </w:p>
        </w:tc>
        <w:tc>
          <w:tcPr>
            <w:tcW w:w="944" w:type="pct"/>
            <w:vAlign w:val="center"/>
          </w:tcPr>
          <w:p w14:paraId="5050FFF6" w14:textId="165B0487" w:rsidR="00691ABA" w:rsidRDefault="001B438C">
            <w:pPr>
              <w:kinsoku w:val="0"/>
              <w:overflowPunct w:val="0"/>
              <w:autoSpaceDE w:val="0"/>
              <w:autoSpaceDN w:val="0"/>
              <w:adjustRightInd w:val="0"/>
              <w:snapToGrid w:val="0"/>
              <w:jc w:val="center"/>
              <w:rPr>
                <w:szCs w:val="21"/>
              </w:rPr>
            </w:pPr>
            <w:r>
              <w:rPr>
                <w:rFonts w:hint="eastAsia"/>
                <w:szCs w:val="21"/>
              </w:rPr>
              <w:t>本报告期</w:t>
            </w:r>
          </w:p>
        </w:tc>
        <w:tc>
          <w:tcPr>
            <w:tcW w:w="919" w:type="pct"/>
            <w:vAlign w:val="center"/>
          </w:tcPr>
          <w:p w14:paraId="4E785A5B" w14:textId="77777777" w:rsidR="00691ABA" w:rsidRDefault="001B438C">
            <w:pPr>
              <w:kinsoku w:val="0"/>
              <w:overflowPunct w:val="0"/>
              <w:autoSpaceDE w:val="0"/>
              <w:autoSpaceDN w:val="0"/>
              <w:adjustRightInd w:val="0"/>
              <w:snapToGrid w:val="0"/>
              <w:jc w:val="center"/>
              <w:rPr>
                <w:szCs w:val="21"/>
              </w:rPr>
            </w:pPr>
            <w:r>
              <w:rPr>
                <w:rFonts w:hint="eastAsia"/>
                <w:szCs w:val="21"/>
              </w:rPr>
              <w:t>上年同期</w:t>
            </w:r>
          </w:p>
        </w:tc>
        <w:tc>
          <w:tcPr>
            <w:tcW w:w="1593" w:type="pct"/>
            <w:vAlign w:val="center"/>
          </w:tcPr>
          <w:p w14:paraId="7A2F34AA" w14:textId="77777777" w:rsidR="00691ABA" w:rsidRDefault="001B438C">
            <w:pPr>
              <w:kinsoku w:val="0"/>
              <w:overflowPunct w:val="0"/>
              <w:autoSpaceDE w:val="0"/>
              <w:autoSpaceDN w:val="0"/>
              <w:adjustRightInd w:val="0"/>
              <w:snapToGrid w:val="0"/>
              <w:jc w:val="center"/>
              <w:rPr>
                <w:szCs w:val="21"/>
              </w:rPr>
            </w:pPr>
            <w:r>
              <w:t>本报告期比上年同期增减</w:t>
            </w:r>
            <w:r>
              <w:t>(%)</w:t>
            </w:r>
          </w:p>
        </w:tc>
      </w:tr>
      <w:tr w:rsidR="00691ABA" w14:paraId="52C8BCBE" w14:textId="77777777" w:rsidTr="00A4338D">
        <w:trPr>
          <w:jc w:val="center"/>
        </w:trPr>
        <w:tc>
          <w:tcPr>
            <w:tcW w:w="1544" w:type="pct"/>
            <w:vAlign w:val="center"/>
          </w:tcPr>
          <w:p w14:paraId="4148071E" w14:textId="77777777" w:rsidR="00691ABA" w:rsidRDefault="001B438C">
            <w:pPr>
              <w:kinsoku w:val="0"/>
              <w:overflowPunct w:val="0"/>
              <w:autoSpaceDE w:val="0"/>
              <w:autoSpaceDN w:val="0"/>
              <w:adjustRightInd w:val="0"/>
              <w:snapToGrid w:val="0"/>
              <w:rPr>
                <w:szCs w:val="21"/>
              </w:rPr>
            </w:pPr>
            <w:r>
              <w:rPr>
                <w:rFonts w:cs="宋体" w:hint="eastAsia"/>
                <w:szCs w:val="21"/>
              </w:rPr>
              <w:t>营业收入</w:t>
            </w:r>
          </w:p>
        </w:tc>
        <w:tc>
          <w:tcPr>
            <w:tcW w:w="944" w:type="pct"/>
            <w:vAlign w:val="center"/>
          </w:tcPr>
          <w:p w14:paraId="0345D595" w14:textId="77777777" w:rsidR="00691ABA" w:rsidRDefault="001B438C">
            <w:pPr>
              <w:kinsoku w:val="0"/>
              <w:overflowPunct w:val="0"/>
              <w:autoSpaceDE w:val="0"/>
              <w:autoSpaceDN w:val="0"/>
              <w:adjustRightInd w:val="0"/>
              <w:snapToGrid w:val="0"/>
              <w:jc w:val="right"/>
              <w:rPr>
                <w:szCs w:val="21"/>
              </w:rPr>
            </w:pPr>
            <w:r>
              <w:rPr>
                <w:szCs w:val="21"/>
              </w:rPr>
              <w:t>5,663,836,253.89</w:t>
            </w:r>
          </w:p>
        </w:tc>
        <w:tc>
          <w:tcPr>
            <w:tcW w:w="919" w:type="pct"/>
            <w:vAlign w:val="center"/>
          </w:tcPr>
          <w:p w14:paraId="291F61A3" w14:textId="77777777" w:rsidR="00691ABA" w:rsidRDefault="001B438C">
            <w:pPr>
              <w:kinsoku w:val="0"/>
              <w:overflowPunct w:val="0"/>
              <w:autoSpaceDE w:val="0"/>
              <w:autoSpaceDN w:val="0"/>
              <w:adjustRightInd w:val="0"/>
              <w:snapToGrid w:val="0"/>
              <w:jc w:val="right"/>
              <w:rPr>
                <w:szCs w:val="21"/>
              </w:rPr>
            </w:pPr>
            <w:r>
              <w:rPr>
                <w:szCs w:val="21"/>
              </w:rPr>
              <w:t>5,431,672,307.69</w:t>
            </w:r>
          </w:p>
        </w:tc>
        <w:tc>
          <w:tcPr>
            <w:tcW w:w="1593" w:type="pct"/>
            <w:vAlign w:val="center"/>
          </w:tcPr>
          <w:p w14:paraId="33F18003" w14:textId="77777777" w:rsidR="00691ABA" w:rsidRDefault="001B438C">
            <w:pPr>
              <w:kinsoku w:val="0"/>
              <w:overflowPunct w:val="0"/>
              <w:autoSpaceDE w:val="0"/>
              <w:autoSpaceDN w:val="0"/>
              <w:adjustRightInd w:val="0"/>
              <w:snapToGrid w:val="0"/>
              <w:jc w:val="right"/>
              <w:rPr>
                <w:szCs w:val="21"/>
              </w:rPr>
            </w:pPr>
            <w:r>
              <w:rPr>
                <w:szCs w:val="21"/>
              </w:rPr>
              <w:t>4.27</w:t>
            </w:r>
          </w:p>
        </w:tc>
      </w:tr>
      <w:tr w:rsidR="00691ABA" w14:paraId="32A0E918" w14:textId="77777777" w:rsidTr="00A4338D">
        <w:trPr>
          <w:jc w:val="center"/>
        </w:trPr>
        <w:tc>
          <w:tcPr>
            <w:tcW w:w="1544" w:type="pct"/>
            <w:vAlign w:val="center"/>
          </w:tcPr>
          <w:p w14:paraId="6EA8FB8B" w14:textId="796B5D6A" w:rsidR="00691ABA" w:rsidRDefault="001B438C">
            <w:pPr>
              <w:kinsoku w:val="0"/>
              <w:overflowPunct w:val="0"/>
              <w:autoSpaceDE w:val="0"/>
              <w:autoSpaceDN w:val="0"/>
              <w:adjustRightInd w:val="0"/>
              <w:snapToGrid w:val="0"/>
            </w:pPr>
            <w:r>
              <w:rPr>
                <w:rFonts w:hint="eastAsia"/>
              </w:rPr>
              <w:t>利润总额</w:t>
            </w:r>
          </w:p>
        </w:tc>
        <w:tc>
          <w:tcPr>
            <w:tcW w:w="944" w:type="pct"/>
            <w:vAlign w:val="center"/>
          </w:tcPr>
          <w:p w14:paraId="63C70126" w14:textId="68D980B7" w:rsidR="00691ABA" w:rsidRDefault="001B438C">
            <w:pPr>
              <w:kinsoku w:val="0"/>
              <w:overflowPunct w:val="0"/>
              <w:autoSpaceDE w:val="0"/>
              <w:autoSpaceDN w:val="0"/>
              <w:adjustRightInd w:val="0"/>
              <w:snapToGrid w:val="0"/>
              <w:jc w:val="right"/>
              <w:rPr>
                <w:szCs w:val="21"/>
              </w:rPr>
            </w:pPr>
            <w:r>
              <w:rPr>
                <w:szCs w:val="21"/>
              </w:rPr>
              <w:t>749,591,545.75</w:t>
            </w:r>
          </w:p>
        </w:tc>
        <w:tc>
          <w:tcPr>
            <w:tcW w:w="919" w:type="pct"/>
            <w:vAlign w:val="center"/>
          </w:tcPr>
          <w:p w14:paraId="6484002B" w14:textId="7B35615C" w:rsidR="00691ABA" w:rsidRDefault="001B438C">
            <w:pPr>
              <w:kinsoku w:val="0"/>
              <w:overflowPunct w:val="0"/>
              <w:autoSpaceDE w:val="0"/>
              <w:autoSpaceDN w:val="0"/>
              <w:adjustRightInd w:val="0"/>
              <w:snapToGrid w:val="0"/>
              <w:jc w:val="right"/>
              <w:rPr>
                <w:szCs w:val="21"/>
              </w:rPr>
            </w:pPr>
            <w:r>
              <w:rPr>
                <w:szCs w:val="21"/>
              </w:rPr>
              <w:t>403,972,812.43</w:t>
            </w:r>
          </w:p>
        </w:tc>
        <w:tc>
          <w:tcPr>
            <w:tcW w:w="1593" w:type="pct"/>
            <w:vAlign w:val="center"/>
          </w:tcPr>
          <w:p w14:paraId="37076B01" w14:textId="44DF4F51" w:rsidR="00691ABA" w:rsidRDefault="001B438C">
            <w:pPr>
              <w:kinsoku w:val="0"/>
              <w:overflowPunct w:val="0"/>
              <w:autoSpaceDE w:val="0"/>
              <w:autoSpaceDN w:val="0"/>
              <w:adjustRightInd w:val="0"/>
              <w:snapToGrid w:val="0"/>
              <w:jc w:val="right"/>
              <w:rPr>
                <w:szCs w:val="21"/>
              </w:rPr>
            </w:pPr>
            <w:r>
              <w:rPr>
                <w:szCs w:val="21"/>
              </w:rPr>
              <w:t>85.55</w:t>
            </w:r>
          </w:p>
        </w:tc>
      </w:tr>
      <w:tr w:rsidR="00691ABA" w14:paraId="07826B72" w14:textId="77777777" w:rsidTr="00A4338D">
        <w:trPr>
          <w:jc w:val="center"/>
        </w:trPr>
        <w:tc>
          <w:tcPr>
            <w:tcW w:w="1544" w:type="pct"/>
            <w:vAlign w:val="center"/>
          </w:tcPr>
          <w:p w14:paraId="79FDB410" w14:textId="77777777" w:rsidR="00691ABA" w:rsidRDefault="001B438C">
            <w:pPr>
              <w:kinsoku w:val="0"/>
              <w:overflowPunct w:val="0"/>
              <w:autoSpaceDE w:val="0"/>
              <w:autoSpaceDN w:val="0"/>
              <w:adjustRightInd w:val="0"/>
              <w:snapToGrid w:val="0"/>
              <w:rPr>
                <w:szCs w:val="21"/>
              </w:rPr>
            </w:pPr>
            <w:r>
              <w:rPr>
                <w:rFonts w:cs="宋体" w:hint="eastAsia"/>
                <w:szCs w:val="21"/>
              </w:rPr>
              <w:t>归属于上市公司股东的净利润</w:t>
            </w:r>
          </w:p>
        </w:tc>
        <w:tc>
          <w:tcPr>
            <w:tcW w:w="944" w:type="pct"/>
            <w:vAlign w:val="center"/>
          </w:tcPr>
          <w:p w14:paraId="14F1D15C" w14:textId="77777777" w:rsidR="00691ABA" w:rsidRDefault="001B438C">
            <w:pPr>
              <w:kinsoku w:val="0"/>
              <w:overflowPunct w:val="0"/>
              <w:autoSpaceDE w:val="0"/>
              <w:autoSpaceDN w:val="0"/>
              <w:adjustRightInd w:val="0"/>
              <w:snapToGrid w:val="0"/>
              <w:jc w:val="right"/>
              <w:rPr>
                <w:szCs w:val="21"/>
              </w:rPr>
            </w:pPr>
            <w:r>
              <w:rPr>
                <w:szCs w:val="21"/>
              </w:rPr>
              <w:t>627,701,257.33</w:t>
            </w:r>
          </w:p>
        </w:tc>
        <w:tc>
          <w:tcPr>
            <w:tcW w:w="919" w:type="pct"/>
            <w:vAlign w:val="center"/>
          </w:tcPr>
          <w:p w14:paraId="1BF98087" w14:textId="77777777" w:rsidR="00691ABA" w:rsidRDefault="001B438C">
            <w:pPr>
              <w:kinsoku w:val="0"/>
              <w:overflowPunct w:val="0"/>
              <w:autoSpaceDE w:val="0"/>
              <w:autoSpaceDN w:val="0"/>
              <w:adjustRightInd w:val="0"/>
              <w:snapToGrid w:val="0"/>
              <w:jc w:val="right"/>
              <w:rPr>
                <w:szCs w:val="21"/>
              </w:rPr>
            </w:pPr>
            <w:r>
              <w:rPr>
                <w:szCs w:val="21"/>
              </w:rPr>
              <w:t>231,416,651.70</w:t>
            </w:r>
          </w:p>
        </w:tc>
        <w:tc>
          <w:tcPr>
            <w:tcW w:w="1593" w:type="pct"/>
            <w:vAlign w:val="center"/>
          </w:tcPr>
          <w:p w14:paraId="4DC4872B" w14:textId="77777777" w:rsidR="00691ABA" w:rsidRDefault="001B438C">
            <w:pPr>
              <w:kinsoku w:val="0"/>
              <w:overflowPunct w:val="0"/>
              <w:autoSpaceDE w:val="0"/>
              <w:autoSpaceDN w:val="0"/>
              <w:adjustRightInd w:val="0"/>
              <w:snapToGrid w:val="0"/>
              <w:jc w:val="right"/>
              <w:rPr>
                <w:szCs w:val="21"/>
              </w:rPr>
            </w:pPr>
            <w:r>
              <w:rPr>
                <w:szCs w:val="21"/>
              </w:rPr>
              <w:t>171.24</w:t>
            </w:r>
          </w:p>
        </w:tc>
      </w:tr>
      <w:tr w:rsidR="00691ABA" w14:paraId="7291D60C" w14:textId="77777777" w:rsidTr="00A4338D">
        <w:trPr>
          <w:jc w:val="center"/>
        </w:trPr>
        <w:tc>
          <w:tcPr>
            <w:tcW w:w="1544" w:type="pct"/>
            <w:vAlign w:val="center"/>
          </w:tcPr>
          <w:p w14:paraId="31609A54" w14:textId="77777777" w:rsidR="00691ABA" w:rsidRDefault="001B438C">
            <w:pPr>
              <w:kinsoku w:val="0"/>
              <w:overflowPunct w:val="0"/>
              <w:autoSpaceDE w:val="0"/>
              <w:autoSpaceDN w:val="0"/>
              <w:adjustRightInd w:val="0"/>
              <w:snapToGrid w:val="0"/>
              <w:rPr>
                <w:szCs w:val="21"/>
              </w:rPr>
            </w:pPr>
            <w:r>
              <w:rPr>
                <w:rFonts w:cs="宋体" w:hint="eastAsia"/>
                <w:szCs w:val="21"/>
              </w:rPr>
              <w:t>归属于上市公司股东的扣除非经常性损益的净利润</w:t>
            </w:r>
          </w:p>
        </w:tc>
        <w:tc>
          <w:tcPr>
            <w:tcW w:w="944" w:type="pct"/>
            <w:vAlign w:val="center"/>
          </w:tcPr>
          <w:p w14:paraId="620D5EE8" w14:textId="77777777" w:rsidR="00691ABA" w:rsidRDefault="001B438C">
            <w:pPr>
              <w:kinsoku w:val="0"/>
              <w:overflowPunct w:val="0"/>
              <w:autoSpaceDE w:val="0"/>
              <w:autoSpaceDN w:val="0"/>
              <w:adjustRightInd w:val="0"/>
              <w:snapToGrid w:val="0"/>
              <w:jc w:val="right"/>
              <w:rPr>
                <w:szCs w:val="21"/>
              </w:rPr>
            </w:pPr>
            <w:r>
              <w:rPr>
                <w:szCs w:val="21"/>
              </w:rPr>
              <w:t>618,837,568.16</w:t>
            </w:r>
          </w:p>
        </w:tc>
        <w:tc>
          <w:tcPr>
            <w:tcW w:w="919" w:type="pct"/>
            <w:vAlign w:val="center"/>
          </w:tcPr>
          <w:p w14:paraId="35FED4AE" w14:textId="77777777" w:rsidR="00691ABA" w:rsidRDefault="001B438C">
            <w:pPr>
              <w:kinsoku w:val="0"/>
              <w:overflowPunct w:val="0"/>
              <w:autoSpaceDE w:val="0"/>
              <w:autoSpaceDN w:val="0"/>
              <w:adjustRightInd w:val="0"/>
              <w:snapToGrid w:val="0"/>
              <w:jc w:val="right"/>
              <w:rPr>
                <w:szCs w:val="21"/>
              </w:rPr>
            </w:pPr>
            <w:r>
              <w:rPr>
                <w:szCs w:val="21"/>
              </w:rPr>
              <w:t>220,981,834.00</w:t>
            </w:r>
          </w:p>
        </w:tc>
        <w:tc>
          <w:tcPr>
            <w:tcW w:w="1593" w:type="pct"/>
            <w:vAlign w:val="center"/>
          </w:tcPr>
          <w:p w14:paraId="0C31EE5B" w14:textId="77777777" w:rsidR="00691ABA" w:rsidRDefault="001B438C">
            <w:pPr>
              <w:kinsoku w:val="0"/>
              <w:overflowPunct w:val="0"/>
              <w:autoSpaceDE w:val="0"/>
              <w:autoSpaceDN w:val="0"/>
              <w:adjustRightInd w:val="0"/>
              <w:snapToGrid w:val="0"/>
              <w:jc w:val="right"/>
              <w:rPr>
                <w:szCs w:val="21"/>
              </w:rPr>
            </w:pPr>
            <w:r>
              <w:rPr>
                <w:szCs w:val="21"/>
              </w:rPr>
              <w:t>180.04</w:t>
            </w:r>
          </w:p>
        </w:tc>
      </w:tr>
      <w:tr w:rsidR="00691ABA" w14:paraId="3CB06D28" w14:textId="77777777" w:rsidTr="00A4338D">
        <w:trPr>
          <w:jc w:val="center"/>
        </w:trPr>
        <w:tc>
          <w:tcPr>
            <w:tcW w:w="1544" w:type="pct"/>
            <w:vAlign w:val="center"/>
          </w:tcPr>
          <w:p w14:paraId="5FCD8504" w14:textId="77777777" w:rsidR="00691ABA" w:rsidRDefault="001B438C">
            <w:pPr>
              <w:kinsoku w:val="0"/>
              <w:overflowPunct w:val="0"/>
              <w:autoSpaceDE w:val="0"/>
              <w:autoSpaceDN w:val="0"/>
              <w:adjustRightInd w:val="0"/>
              <w:snapToGrid w:val="0"/>
              <w:rPr>
                <w:szCs w:val="21"/>
              </w:rPr>
            </w:pPr>
            <w:r>
              <w:rPr>
                <w:rFonts w:cs="宋体" w:hint="eastAsia"/>
                <w:szCs w:val="21"/>
              </w:rPr>
              <w:t>经营活动产生的现金流量净额</w:t>
            </w:r>
          </w:p>
        </w:tc>
        <w:tc>
          <w:tcPr>
            <w:tcW w:w="944" w:type="pct"/>
            <w:vAlign w:val="center"/>
          </w:tcPr>
          <w:p w14:paraId="6A74D1A1" w14:textId="77777777" w:rsidR="00691ABA" w:rsidRDefault="001B438C">
            <w:pPr>
              <w:kinsoku w:val="0"/>
              <w:overflowPunct w:val="0"/>
              <w:autoSpaceDE w:val="0"/>
              <w:autoSpaceDN w:val="0"/>
              <w:adjustRightInd w:val="0"/>
              <w:snapToGrid w:val="0"/>
              <w:jc w:val="right"/>
              <w:rPr>
                <w:szCs w:val="21"/>
              </w:rPr>
            </w:pPr>
            <w:r>
              <w:rPr>
                <w:szCs w:val="21"/>
              </w:rPr>
              <w:t>958,968,358.71</w:t>
            </w:r>
          </w:p>
        </w:tc>
        <w:tc>
          <w:tcPr>
            <w:tcW w:w="919" w:type="pct"/>
            <w:vAlign w:val="center"/>
          </w:tcPr>
          <w:p w14:paraId="1E9AEBE6" w14:textId="77777777" w:rsidR="00691ABA" w:rsidRDefault="001B438C">
            <w:pPr>
              <w:kinsoku w:val="0"/>
              <w:overflowPunct w:val="0"/>
              <w:autoSpaceDE w:val="0"/>
              <w:autoSpaceDN w:val="0"/>
              <w:adjustRightInd w:val="0"/>
              <w:snapToGrid w:val="0"/>
              <w:jc w:val="right"/>
              <w:rPr>
                <w:szCs w:val="21"/>
              </w:rPr>
            </w:pPr>
            <w:r>
              <w:rPr>
                <w:szCs w:val="21"/>
              </w:rPr>
              <w:t>497,200,080.84</w:t>
            </w:r>
          </w:p>
        </w:tc>
        <w:tc>
          <w:tcPr>
            <w:tcW w:w="1593" w:type="pct"/>
            <w:vAlign w:val="center"/>
          </w:tcPr>
          <w:p w14:paraId="3858AB4D" w14:textId="77777777" w:rsidR="00691ABA" w:rsidRDefault="001B438C">
            <w:pPr>
              <w:kinsoku w:val="0"/>
              <w:overflowPunct w:val="0"/>
              <w:autoSpaceDE w:val="0"/>
              <w:autoSpaceDN w:val="0"/>
              <w:adjustRightInd w:val="0"/>
              <w:snapToGrid w:val="0"/>
              <w:jc w:val="right"/>
              <w:rPr>
                <w:szCs w:val="21"/>
              </w:rPr>
            </w:pPr>
            <w:r>
              <w:rPr>
                <w:szCs w:val="21"/>
              </w:rPr>
              <w:t>92.87</w:t>
            </w:r>
          </w:p>
        </w:tc>
      </w:tr>
      <w:tr w:rsidR="00691ABA" w14:paraId="2AC7277A" w14:textId="77777777" w:rsidTr="00A4338D">
        <w:trPr>
          <w:jc w:val="center"/>
        </w:trPr>
        <w:tc>
          <w:tcPr>
            <w:tcW w:w="1544" w:type="pct"/>
            <w:vAlign w:val="center"/>
          </w:tcPr>
          <w:p w14:paraId="57587C9C" w14:textId="77777777" w:rsidR="00691ABA" w:rsidRDefault="001B438C">
            <w:pPr>
              <w:kinsoku w:val="0"/>
              <w:overflowPunct w:val="0"/>
              <w:autoSpaceDE w:val="0"/>
              <w:autoSpaceDN w:val="0"/>
              <w:adjustRightInd w:val="0"/>
              <w:snapToGrid w:val="0"/>
              <w:rPr>
                <w:szCs w:val="21"/>
              </w:rPr>
            </w:pPr>
            <w:r>
              <w:rPr>
                <w:rFonts w:cs="宋体" w:hint="eastAsia"/>
                <w:szCs w:val="21"/>
              </w:rPr>
              <w:t>加权平均净资产收益率（</w:t>
            </w:r>
            <w:r>
              <w:rPr>
                <w:rFonts w:cs="宋体"/>
                <w:szCs w:val="21"/>
              </w:rPr>
              <w:t>%</w:t>
            </w:r>
            <w:r>
              <w:rPr>
                <w:rFonts w:cs="宋体" w:hint="eastAsia"/>
                <w:szCs w:val="21"/>
              </w:rPr>
              <w:t>）</w:t>
            </w:r>
          </w:p>
        </w:tc>
        <w:tc>
          <w:tcPr>
            <w:tcW w:w="944" w:type="pct"/>
            <w:vAlign w:val="center"/>
          </w:tcPr>
          <w:p w14:paraId="78B147C8" w14:textId="77777777" w:rsidR="00691ABA" w:rsidRDefault="001B438C">
            <w:pPr>
              <w:kinsoku w:val="0"/>
              <w:overflowPunct w:val="0"/>
              <w:autoSpaceDE w:val="0"/>
              <w:autoSpaceDN w:val="0"/>
              <w:adjustRightInd w:val="0"/>
              <w:snapToGrid w:val="0"/>
              <w:jc w:val="right"/>
              <w:rPr>
                <w:szCs w:val="21"/>
              </w:rPr>
            </w:pPr>
            <w:r>
              <w:rPr>
                <w:szCs w:val="21"/>
              </w:rPr>
              <w:t>5.99</w:t>
            </w:r>
          </w:p>
        </w:tc>
        <w:tc>
          <w:tcPr>
            <w:tcW w:w="919" w:type="pct"/>
            <w:vAlign w:val="center"/>
          </w:tcPr>
          <w:p w14:paraId="441BBF10" w14:textId="77777777" w:rsidR="00691ABA" w:rsidRDefault="001B438C">
            <w:pPr>
              <w:kinsoku w:val="0"/>
              <w:overflowPunct w:val="0"/>
              <w:autoSpaceDE w:val="0"/>
              <w:autoSpaceDN w:val="0"/>
              <w:adjustRightInd w:val="0"/>
              <w:snapToGrid w:val="0"/>
              <w:jc w:val="right"/>
              <w:rPr>
                <w:szCs w:val="21"/>
              </w:rPr>
            </w:pPr>
            <w:r>
              <w:rPr>
                <w:szCs w:val="21"/>
              </w:rPr>
              <w:t>1.97</w:t>
            </w:r>
          </w:p>
        </w:tc>
        <w:tc>
          <w:tcPr>
            <w:tcW w:w="1593" w:type="pct"/>
            <w:vAlign w:val="center"/>
          </w:tcPr>
          <w:p w14:paraId="777DA8F1" w14:textId="77777777" w:rsidR="00691ABA" w:rsidRDefault="001B438C">
            <w:pPr>
              <w:kinsoku w:val="0"/>
              <w:overflowPunct w:val="0"/>
              <w:autoSpaceDE w:val="0"/>
              <w:autoSpaceDN w:val="0"/>
              <w:adjustRightInd w:val="0"/>
              <w:snapToGrid w:val="0"/>
              <w:jc w:val="right"/>
              <w:rPr>
                <w:szCs w:val="21"/>
              </w:rPr>
            </w:pPr>
            <w:r>
              <w:rPr>
                <w:szCs w:val="21"/>
              </w:rPr>
              <w:t>增加</w:t>
            </w:r>
            <w:r>
              <w:rPr>
                <w:szCs w:val="21"/>
              </w:rPr>
              <w:t>4.02</w:t>
            </w:r>
            <w:r>
              <w:rPr>
                <w:szCs w:val="21"/>
              </w:rPr>
              <w:t>个百分点</w:t>
            </w:r>
          </w:p>
        </w:tc>
      </w:tr>
      <w:tr w:rsidR="00691ABA" w14:paraId="70135644" w14:textId="77777777" w:rsidTr="00A4338D">
        <w:trPr>
          <w:jc w:val="center"/>
        </w:trPr>
        <w:tc>
          <w:tcPr>
            <w:tcW w:w="1544" w:type="pct"/>
            <w:vAlign w:val="center"/>
          </w:tcPr>
          <w:p w14:paraId="35424BF6" w14:textId="77777777" w:rsidR="00691ABA" w:rsidRDefault="001B438C">
            <w:pPr>
              <w:kinsoku w:val="0"/>
              <w:overflowPunct w:val="0"/>
              <w:autoSpaceDE w:val="0"/>
              <w:autoSpaceDN w:val="0"/>
              <w:adjustRightInd w:val="0"/>
              <w:snapToGrid w:val="0"/>
              <w:rPr>
                <w:szCs w:val="21"/>
              </w:rPr>
            </w:pPr>
            <w:r>
              <w:rPr>
                <w:rFonts w:cs="宋体" w:hint="eastAsia"/>
                <w:szCs w:val="21"/>
              </w:rPr>
              <w:t>基本每股收益（元／股）</w:t>
            </w:r>
          </w:p>
        </w:tc>
        <w:tc>
          <w:tcPr>
            <w:tcW w:w="944" w:type="pct"/>
            <w:vAlign w:val="center"/>
          </w:tcPr>
          <w:p w14:paraId="4B68F1A3" w14:textId="77777777" w:rsidR="00691ABA" w:rsidRDefault="001B438C">
            <w:pPr>
              <w:kinsoku w:val="0"/>
              <w:overflowPunct w:val="0"/>
              <w:autoSpaceDE w:val="0"/>
              <w:autoSpaceDN w:val="0"/>
              <w:adjustRightInd w:val="0"/>
              <w:snapToGrid w:val="0"/>
              <w:jc w:val="right"/>
              <w:rPr>
                <w:szCs w:val="21"/>
              </w:rPr>
            </w:pPr>
            <w:r>
              <w:rPr>
                <w:szCs w:val="21"/>
              </w:rPr>
              <w:t>0.5934</w:t>
            </w:r>
          </w:p>
        </w:tc>
        <w:tc>
          <w:tcPr>
            <w:tcW w:w="919" w:type="pct"/>
            <w:vAlign w:val="center"/>
          </w:tcPr>
          <w:p w14:paraId="140AC8D1" w14:textId="77777777" w:rsidR="00691ABA" w:rsidRDefault="001B438C">
            <w:pPr>
              <w:kinsoku w:val="0"/>
              <w:overflowPunct w:val="0"/>
              <w:autoSpaceDE w:val="0"/>
              <w:autoSpaceDN w:val="0"/>
              <w:adjustRightInd w:val="0"/>
              <w:snapToGrid w:val="0"/>
              <w:jc w:val="right"/>
              <w:rPr>
                <w:szCs w:val="21"/>
              </w:rPr>
            </w:pPr>
            <w:r>
              <w:rPr>
                <w:szCs w:val="21"/>
              </w:rPr>
              <w:t>0.2110</w:t>
            </w:r>
          </w:p>
        </w:tc>
        <w:tc>
          <w:tcPr>
            <w:tcW w:w="1593" w:type="pct"/>
            <w:vAlign w:val="center"/>
          </w:tcPr>
          <w:p w14:paraId="7CC6C227" w14:textId="77777777" w:rsidR="00691ABA" w:rsidRDefault="001B438C">
            <w:pPr>
              <w:kinsoku w:val="0"/>
              <w:overflowPunct w:val="0"/>
              <w:autoSpaceDE w:val="0"/>
              <w:autoSpaceDN w:val="0"/>
              <w:adjustRightInd w:val="0"/>
              <w:snapToGrid w:val="0"/>
              <w:jc w:val="right"/>
              <w:rPr>
                <w:szCs w:val="21"/>
              </w:rPr>
            </w:pPr>
            <w:r>
              <w:rPr>
                <w:szCs w:val="21"/>
              </w:rPr>
              <w:t>181.23</w:t>
            </w:r>
          </w:p>
        </w:tc>
      </w:tr>
      <w:tr w:rsidR="00691ABA" w14:paraId="2A01B9AA" w14:textId="77777777" w:rsidTr="00A4338D">
        <w:trPr>
          <w:jc w:val="center"/>
        </w:trPr>
        <w:tc>
          <w:tcPr>
            <w:tcW w:w="1544" w:type="pct"/>
            <w:vAlign w:val="center"/>
          </w:tcPr>
          <w:p w14:paraId="30E15189" w14:textId="77777777" w:rsidR="00691ABA" w:rsidRDefault="001B438C">
            <w:pPr>
              <w:kinsoku w:val="0"/>
              <w:overflowPunct w:val="0"/>
              <w:autoSpaceDE w:val="0"/>
              <w:autoSpaceDN w:val="0"/>
              <w:adjustRightInd w:val="0"/>
              <w:snapToGrid w:val="0"/>
              <w:rPr>
                <w:szCs w:val="21"/>
              </w:rPr>
            </w:pPr>
            <w:r>
              <w:rPr>
                <w:rFonts w:cs="宋体" w:hint="eastAsia"/>
                <w:szCs w:val="21"/>
              </w:rPr>
              <w:t>稀释每股收益（元／股）</w:t>
            </w:r>
          </w:p>
        </w:tc>
        <w:tc>
          <w:tcPr>
            <w:tcW w:w="944" w:type="pct"/>
            <w:vAlign w:val="center"/>
          </w:tcPr>
          <w:p w14:paraId="4F01BEB9" w14:textId="77777777" w:rsidR="00691ABA" w:rsidRDefault="001B438C">
            <w:pPr>
              <w:kinsoku w:val="0"/>
              <w:overflowPunct w:val="0"/>
              <w:autoSpaceDE w:val="0"/>
              <w:autoSpaceDN w:val="0"/>
              <w:adjustRightInd w:val="0"/>
              <w:snapToGrid w:val="0"/>
              <w:jc w:val="right"/>
              <w:rPr>
                <w:szCs w:val="21"/>
              </w:rPr>
            </w:pPr>
            <w:r>
              <w:rPr>
                <w:szCs w:val="21"/>
              </w:rPr>
              <w:t>0.5934</w:t>
            </w:r>
          </w:p>
        </w:tc>
        <w:tc>
          <w:tcPr>
            <w:tcW w:w="919" w:type="pct"/>
            <w:vAlign w:val="center"/>
          </w:tcPr>
          <w:p w14:paraId="10FEA3C4" w14:textId="77777777" w:rsidR="00691ABA" w:rsidRDefault="001B438C">
            <w:pPr>
              <w:kinsoku w:val="0"/>
              <w:overflowPunct w:val="0"/>
              <w:autoSpaceDE w:val="0"/>
              <w:autoSpaceDN w:val="0"/>
              <w:adjustRightInd w:val="0"/>
              <w:snapToGrid w:val="0"/>
              <w:jc w:val="right"/>
              <w:rPr>
                <w:szCs w:val="21"/>
              </w:rPr>
            </w:pPr>
            <w:r>
              <w:rPr>
                <w:szCs w:val="21"/>
              </w:rPr>
              <w:t>0.2110</w:t>
            </w:r>
          </w:p>
        </w:tc>
        <w:tc>
          <w:tcPr>
            <w:tcW w:w="1593" w:type="pct"/>
            <w:vAlign w:val="center"/>
          </w:tcPr>
          <w:p w14:paraId="13DD408A" w14:textId="77777777" w:rsidR="00691ABA" w:rsidRDefault="001B438C">
            <w:pPr>
              <w:kinsoku w:val="0"/>
              <w:overflowPunct w:val="0"/>
              <w:autoSpaceDE w:val="0"/>
              <w:autoSpaceDN w:val="0"/>
              <w:adjustRightInd w:val="0"/>
              <w:snapToGrid w:val="0"/>
              <w:jc w:val="right"/>
              <w:rPr>
                <w:szCs w:val="21"/>
              </w:rPr>
            </w:pPr>
            <w:r>
              <w:rPr>
                <w:szCs w:val="21"/>
              </w:rPr>
              <w:t>181.23</w:t>
            </w:r>
          </w:p>
        </w:tc>
      </w:tr>
    </w:tbl>
    <w:p w14:paraId="7690586F" w14:textId="5000E2DD" w:rsidR="00691ABA" w:rsidRDefault="00691ABA">
      <w:pPr>
        <w:kinsoku w:val="0"/>
        <w:overflowPunct w:val="0"/>
        <w:autoSpaceDE w:val="0"/>
        <w:autoSpaceDN w:val="0"/>
        <w:adjustRightInd w:val="0"/>
        <w:snapToGrid w:val="0"/>
        <w:rPr>
          <w:szCs w:val="21"/>
        </w:rPr>
      </w:pPr>
    </w:p>
    <w:p w14:paraId="0060EFD4" w14:textId="2345EC8B" w:rsidR="00691ABA" w:rsidRPr="00A4338D" w:rsidRDefault="001B438C" w:rsidP="00A4338D">
      <w:pPr>
        <w:pStyle w:val="20"/>
        <w:numPr>
          <w:ilvl w:val="0"/>
          <w:numId w:val="23"/>
        </w:numPr>
        <w:spacing w:before="0" w:after="0" w:line="360" w:lineRule="auto"/>
        <w:ind w:left="0" w:firstLine="0"/>
        <w:rPr>
          <w:rFonts w:ascii="Times New Roman" w:hAnsi="Times New Roman"/>
        </w:rPr>
      </w:pPr>
      <w:r>
        <w:rPr>
          <w:rFonts w:ascii="Times New Roman" w:hAnsi="Times New Roman"/>
        </w:rPr>
        <w:t>前</w:t>
      </w:r>
      <w:r>
        <w:rPr>
          <w:rFonts w:ascii="Times New Roman" w:hAnsi="Times New Roman" w:hint="eastAsia"/>
        </w:rPr>
        <w:t>1</w:t>
      </w:r>
      <w:r>
        <w:rPr>
          <w:rFonts w:ascii="Times New Roman" w:hAnsi="Times New Roman"/>
        </w:rPr>
        <w:t>0</w:t>
      </w:r>
      <w:r>
        <w:rPr>
          <w:rFonts w:ascii="Times New Roman" w:hAnsi="Times New Roman"/>
        </w:rPr>
        <w:t>名股东</w:t>
      </w:r>
      <w:r>
        <w:rPr>
          <w:rFonts w:ascii="Times New Roman" w:hAnsi="Times New Roman" w:hint="eastAsia"/>
        </w:rPr>
        <w:t>持股</w:t>
      </w:r>
      <w:r>
        <w:rPr>
          <w:rFonts w:ascii="Times New Roman" w:hAnsi="Times New Roman"/>
        </w:rPr>
        <w:t>情况表</w:t>
      </w:r>
    </w:p>
    <w:p w14:paraId="21DD4B32" w14:textId="77777777" w:rsidR="00691ABA" w:rsidRDefault="001B438C">
      <w:pPr>
        <w:jc w:val="right"/>
        <w:rPr>
          <w:szCs w:val="21"/>
        </w:rPr>
      </w:pPr>
      <w:r>
        <w:rPr>
          <w:rFonts w:hint="eastAsia"/>
          <w:szCs w:val="21"/>
        </w:rPr>
        <w:t xml:space="preserve">                                                                  </w:t>
      </w:r>
      <w:r>
        <w:rPr>
          <w:rFonts w:hint="eastAsia"/>
          <w:szCs w:val="21"/>
        </w:rPr>
        <w:t>单位</w:t>
      </w:r>
      <w:r>
        <w:rPr>
          <w:rFonts w:hint="eastAsia"/>
          <w:szCs w:val="21"/>
        </w:rPr>
        <w:t xml:space="preserve">: </w:t>
      </w:r>
      <w:r>
        <w:rPr>
          <w:rFonts w:hint="eastAsia"/>
          <w:szCs w:val="21"/>
        </w:rPr>
        <w:t>股</w:t>
      </w:r>
    </w:p>
    <w:tbl>
      <w:tblPr>
        <w:tblStyle w:val="a7"/>
        <w:tblW w:w="5718" w:type="pct"/>
        <w:jc w:val="center"/>
        <w:tblLook w:val="04A0" w:firstRow="1" w:lastRow="0" w:firstColumn="1" w:lastColumn="0" w:noHBand="0" w:noVBand="1"/>
      </w:tblPr>
      <w:tblGrid>
        <w:gridCol w:w="2884"/>
        <w:gridCol w:w="1807"/>
        <w:gridCol w:w="915"/>
        <w:gridCol w:w="1266"/>
        <w:gridCol w:w="1490"/>
        <w:gridCol w:w="708"/>
        <w:gridCol w:w="1277"/>
      </w:tblGrid>
      <w:tr w:rsidR="00691ABA" w14:paraId="2C645EF7" w14:textId="77777777" w:rsidTr="00A4338D">
        <w:trPr>
          <w:jc w:val="center"/>
        </w:trPr>
        <w:tc>
          <w:tcPr>
            <w:tcW w:w="3321" w:type="pct"/>
            <w:gridSpan w:val="4"/>
          </w:tcPr>
          <w:p w14:paraId="419A89F6" w14:textId="6A2587E8" w:rsidR="00691ABA" w:rsidRDefault="001B438C">
            <w:r>
              <w:rPr>
                <w:rFonts w:cs="宋体" w:hint="eastAsia"/>
                <w:szCs w:val="21"/>
              </w:rPr>
              <w:t>截至报告期末股东总数（户）</w:t>
            </w:r>
          </w:p>
        </w:tc>
        <w:tc>
          <w:tcPr>
            <w:tcW w:w="1679" w:type="pct"/>
            <w:gridSpan w:val="3"/>
          </w:tcPr>
          <w:p w14:paraId="60AB72EA" w14:textId="77777777" w:rsidR="00691ABA" w:rsidRDefault="001B438C">
            <w:pPr>
              <w:jc w:val="right"/>
            </w:pPr>
            <w:r>
              <w:t>55,151</w:t>
            </w:r>
          </w:p>
        </w:tc>
      </w:tr>
      <w:tr w:rsidR="00691ABA" w14:paraId="6E85B736" w14:textId="77777777" w:rsidTr="00A4338D">
        <w:trPr>
          <w:jc w:val="center"/>
        </w:trPr>
        <w:tc>
          <w:tcPr>
            <w:tcW w:w="3321" w:type="pct"/>
            <w:gridSpan w:val="4"/>
          </w:tcPr>
          <w:p w14:paraId="219BE90C" w14:textId="0B9583E7" w:rsidR="00691ABA" w:rsidRDefault="001B438C">
            <w:pPr>
              <w:rPr>
                <w:rFonts w:cs="宋体"/>
                <w:szCs w:val="21"/>
              </w:rPr>
            </w:pPr>
            <w:r>
              <w:rPr>
                <w:rFonts w:cs="宋体" w:hint="eastAsia"/>
                <w:szCs w:val="21"/>
              </w:rPr>
              <w:t>截至报告期末表决权恢复的优先股股东总数（户）</w:t>
            </w:r>
          </w:p>
        </w:tc>
        <w:tc>
          <w:tcPr>
            <w:tcW w:w="1679" w:type="pct"/>
            <w:gridSpan w:val="3"/>
          </w:tcPr>
          <w:p w14:paraId="7548377D" w14:textId="77777777" w:rsidR="00691ABA" w:rsidRDefault="001B438C">
            <w:pPr>
              <w:jc w:val="right"/>
            </w:pPr>
            <w:r>
              <w:t>0</w:t>
            </w:r>
          </w:p>
        </w:tc>
      </w:tr>
      <w:tr w:rsidR="00691ABA" w14:paraId="16FC0638" w14:textId="77777777" w:rsidTr="00A4338D">
        <w:trPr>
          <w:jc w:val="center"/>
        </w:trPr>
        <w:tc>
          <w:tcPr>
            <w:tcW w:w="5000" w:type="pct"/>
            <w:gridSpan w:val="7"/>
          </w:tcPr>
          <w:p w14:paraId="1AD275C0" w14:textId="77777777" w:rsidR="00691ABA" w:rsidRDefault="001B438C">
            <w:pPr>
              <w:jc w:val="center"/>
            </w:pPr>
            <w:r>
              <w:rPr>
                <w:rFonts w:cs="宋体" w:hint="eastAsia"/>
                <w:szCs w:val="21"/>
              </w:rPr>
              <w:t>前</w:t>
            </w:r>
            <w:r>
              <w:rPr>
                <w:rFonts w:cs="宋体"/>
                <w:szCs w:val="21"/>
              </w:rPr>
              <w:t>10</w:t>
            </w:r>
            <w:r>
              <w:rPr>
                <w:rFonts w:cs="宋体" w:hint="eastAsia"/>
                <w:szCs w:val="21"/>
              </w:rPr>
              <w:t>名股东持股情况</w:t>
            </w:r>
          </w:p>
        </w:tc>
      </w:tr>
      <w:tr w:rsidR="00A4338D" w14:paraId="3BDDB28E" w14:textId="77777777" w:rsidTr="00A4338D">
        <w:trPr>
          <w:jc w:val="center"/>
        </w:trPr>
        <w:tc>
          <w:tcPr>
            <w:tcW w:w="1394" w:type="pct"/>
            <w:vAlign w:val="center"/>
          </w:tcPr>
          <w:p w14:paraId="5D87400C" w14:textId="77777777" w:rsidR="00691ABA" w:rsidRDefault="001B438C">
            <w:pPr>
              <w:jc w:val="center"/>
            </w:pPr>
            <w:r>
              <w:rPr>
                <w:rFonts w:cs="宋体" w:hint="eastAsia"/>
                <w:szCs w:val="21"/>
              </w:rPr>
              <w:t>股东名称</w:t>
            </w:r>
          </w:p>
        </w:tc>
        <w:tc>
          <w:tcPr>
            <w:tcW w:w="873" w:type="pct"/>
            <w:vAlign w:val="center"/>
          </w:tcPr>
          <w:p w14:paraId="28B104EC" w14:textId="77777777" w:rsidR="00691ABA" w:rsidRDefault="001B438C">
            <w:pPr>
              <w:jc w:val="center"/>
            </w:pPr>
            <w:r>
              <w:rPr>
                <w:rFonts w:cs="宋体" w:hint="eastAsia"/>
                <w:szCs w:val="21"/>
              </w:rPr>
              <w:t>股东性质</w:t>
            </w:r>
          </w:p>
        </w:tc>
        <w:tc>
          <w:tcPr>
            <w:tcW w:w="442" w:type="pct"/>
            <w:vAlign w:val="center"/>
          </w:tcPr>
          <w:p w14:paraId="2A168F2D" w14:textId="77777777" w:rsidR="00691ABA" w:rsidRDefault="001B438C">
            <w:pPr>
              <w:jc w:val="center"/>
            </w:pPr>
            <w:r>
              <w:rPr>
                <w:rFonts w:cs="宋体" w:hint="eastAsia"/>
                <w:szCs w:val="21"/>
              </w:rPr>
              <w:t>持股比例</w:t>
            </w:r>
            <w:r>
              <w:rPr>
                <w:rFonts w:cs="宋体"/>
                <w:szCs w:val="21"/>
              </w:rPr>
              <w:t>(%)</w:t>
            </w:r>
          </w:p>
        </w:tc>
        <w:tc>
          <w:tcPr>
            <w:tcW w:w="612" w:type="pct"/>
            <w:vAlign w:val="center"/>
          </w:tcPr>
          <w:p w14:paraId="3DBB05BB" w14:textId="1D3870FC" w:rsidR="00691ABA" w:rsidRPr="00A4338D" w:rsidRDefault="001B438C" w:rsidP="00A4338D">
            <w:pPr>
              <w:jc w:val="center"/>
              <w:rPr>
                <w:rFonts w:cs="宋体"/>
                <w:szCs w:val="21"/>
              </w:rPr>
            </w:pPr>
            <w:r>
              <w:rPr>
                <w:rFonts w:cs="宋体" w:hint="eastAsia"/>
                <w:szCs w:val="21"/>
              </w:rPr>
              <w:t>持股数量</w:t>
            </w:r>
          </w:p>
        </w:tc>
        <w:tc>
          <w:tcPr>
            <w:tcW w:w="720" w:type="pct"/>
            <w:vAlign w:val="center"/>
          </w:tcPr>
          <w:p w14:paraId="4AD7B09F" w14:textId="77777777" w:rsidR="00691ABA" w:rsidRDefault="001B438C">
            <w:pPr>
              <w:jc w:val="center"/>
            </w:pPr>
            <w:r>
              <w:rPr>
                <w:rFonts w:cs="宋体" w:hint="eastAsia"/>
                <w:szCs w:val="21"/>
              </w:rPr>
              <w:t>持有有限</w:t>
            </w:r>
            <w:proofErr w:type="gramStart"/>
            <w:r>
              <w:rPr>
                <w:rFonts w:cs="宋体" w:hint="eastAsia"/>
                <w:szCs w:val="21"/>
              </w:rPr>
              <w:t>售条件</w:t>
            </w:r>
            <w:proofErr w:type="gramEnd"/>
            <w:r>
              <w:rPr>
                <w:rFonts w:cs="宋体" w:hint="eastAsia"/>
                <w:szCs w:val="21"/>
              </w:rPr>
              <w:t>的股份数量</w:t>
            </w:r>
          </w:p>
        </w:tc>
        <w:tc>
          <w:tcPr>
            <w:tcW w:w="959" w:type="pct"/>
            <w:gridSpan w:val="2"/>
            <w:vAlign w:val="center"/>
          </w:tcPr>
          <w:p w14:paraId="4F9FADDC" w14:textId="09A614F6" w:rsidR="00691ABA" w:rsidRDefault="001B438C">
            <w:pPr>
              <w:jc w:val="center"/>
            </w:pPr>
            <w:r>
              <w:rPr>
                <w:rFonts w:cs="宋体" w:hint="eastAsia"/>
                <w:szCs w:val="21"/>
              </w:rPr>
              <w:t>质押、标记或冻结的股份数量</w:t>
            </w:r>
          </w:p>
        </w:tc>
      </w:tr>
      <w:tr w:rsidR="00A4338D" w14:paraId="75ABFB0E" w14:textId="77777777" w:rsidTr="00A4338D">
        <w:trPr>
          <w:jc w:val="center"/>
        </w:trPr>
        <w:tc>
          <w:tcPr>
            <w:tcW w:w="1394" w:type="pct"/>
            <w:vAlign w:val="center"/>
          </w:tcPr>
          <w:p w14:paraId="4317BF10" w14:textId="77777777" w:rsidR="00691ABA" w:rsidRDefault="001B438C">
            <w:pPr>
              <w:jc w:val="left"/>
            </w:pPr>
            <w:r>
              <w:rPr>
                <w:rFonts w:cstheme="minorBidi"/>
              </w:rPr>
              <w:t>步长（香港）控股有限公司</w:t>
            </w:r>
          </w:p>
        </w:tc>
        <w:tc>
          <w:tcPr>
            <w:tcW w:w="873" w:type="pct"/>
            <w:vAlign w:val="center"/>
          </w:tcPr>
          <w:p w14:paraId="01099B9D" w14:textId="77777777" w:rsidR="00691ABA" w:rsidRDefault="001B438C">
            <w:pPr>
              <w:jc w:val="left"/>
            </w:pPr>
            <w:r>
              <w:t>境外法人</w:t>
            </w:r>
          </w:p>
        </w:tc>
        <w:tc>
          <w:tcPr>
            <w:tcW w:w="442" w:type="pct"/>
            <w:vAlign w:val="center"/>
          </w:tcPr>
          <w:p w14:paraId="68A37E7F" w14:textId="77777777" w:rsidR="00691ABA" w:rsidRDefault="001B438C">
            <w:pPr>
              <w:jc w:val="right"/>
            </w:pPr>
            <w:r>
              <w:t>44.39</w:t>
            </w:r>
          </w:p>
        </w:tc>
        <w:tc>
          <w:tcPr>
            <w:tcW w:w="612" w:type="pct"/>
            <w:vAlign w:val="center"/>
          </w:tcPr>
          <w:p w14:paraId="6338AB46" w14:textId="77777777" w:rsidR="00691ABA" w:rsidRDefault="001B438C">
            <w:pPr>
              <w:jc w:val="right"/>
            </w:pPr>
            <w:r>
              <w:t>490,957,202</w:t>
            </w:r>
          </w:p>
        </w:tc>
        <w:tc>
          <w:tcPr>
            <w:tcW w:w="720" w:type="pct"/>
          </w:tcPr>
          <w:p w14:paraId="100F7945" w14:textId="77777777" w:rsidR="00691ABA" w:rsidRDefault="00691ABA">
            <w:pPr>
              <w:jc w:val="right"/>
            </w:pPr>
          </w:p>
        </w:tc>
        <w:tc>
          <w:tcPr>
            <w:tcW w:w="342" w:type="pct"/>
            <w:vAlign w:val="center"/>
          </w:tcPr>
          <w:p w14:paraId="3CAC0191" w14:textId="77777777" w:rsidR="00691ABA" w:rsidRDefault="001B438C">
            <w:pPr>
              <w:jc w:val="left"/>
            </w:pPr>
            <w:r>
              <w:t>质押</w:t>
            </w:r>
          </w:p>
        </w:tc>
        <w:tc>
          <w:tcPr>
            <w:tcW w:w="617" w:type="pct"/>
            <w:vAlign w:val="center"/>
          </w:tcPr>
          <w:p w14:paraId="2DC4E5AD" w14:textId="77777777" w:rsidR="00691ABA" w:rsidRDefault="001B438C">
            <w:pPr>
              <w:jc w:val="right"/>
            </w:pPr>
            <w:r>
              <w:t>102,930,000</w:t>
            </w:r>
          </w:p>
        </w:tc>
      </w:tr>
      <w:tr w:rsidR="00A4338D" w14:paraId="5D39D24A" w14:textId="77777777" w:rsidTr="00A4338D">
        <w:trPr>
          <w:jc w:val="center"/>
        </w:trPr>
        <w:tc>
          <w:tcPr>
            <w:tcW w:w="1394" w:type="pct"/>
            <w:vAlign w:val="center"/>
          </w:tcPr>
          <w:p w14:paraId="7EEFE7D8" w14:textId="77777777" w:rsidR="00691ABA" w:rsidRDefault="001B438C">
            <w:pPr>
              <w:jc w:val="left"/>
            </w:pPr>
            <w:proofErr w:type="gramStart"/>
            <w:r>
              <w:rPr>
                <w:rFonts w:cstheme="minorBidi"/>
              </w:rPr>
              <w:t>首诚国际</w:t>
            </w:r>
            <w:proofErr w:type="gramEnd"/>
            <w:r>
              <w:rPr>
                <w:rFonts w:cstheme="minorBidi"/>
              </w:rPr>
              <w:t>（香港）有限公司</w:t>
            </w:r>
          </w:p>
        </w:tc>
        <w:tc>
          <w:tcPr>
            <w:tcW w:w="873" w:type="pct"/>
            <w:vAlign w:val="center"/>
          </w:tcPr>
          <w:p w14:paraId="549E556F" w14:textId="77777777" w:rsidR="00691ABA" w:rsidRDefault="001B438C">
            <w:pPr>
              <w:jc w:val="left"/>
            </w:pPr>
            <w:r>
              <w:t>境外法人</w:t>
            </w:r>
          </w:p>
        </w:tc>
        <w:tc>
          <w:tcPr>
            <w:tcW w:w="442" w:type="pct"/>
            <w:vAlign w:val="center"/>
          </w:tcPr>
          <w:p w14:paraId="594068DA" w14:textId="77777777" w:rsidR="00691ABA" w:rsidRDefault="001B438C">
            <w:pPr>
              <w:jc w:val="right"/>
            </w:pPr>
            <w:r>
              <w:t>7.48</w:t>
            </w:r>
          </w:p>
        </w:tc>
        <w:tc>
          <w:tcPr>
            <w:tcW w:w="612" w:type="pct"/>
            <w:vAlign w:val="center"/>
          </w:tcPr>
          <w:p w14:paraId="170351C2" w14:textId="77777777" w:rsidR="00691ABA" w:rsidRDefault="001B438C">
            <w:pPr>
              <w:jc w:val="right"/>
            </w:pPr>
            <w:r>
              <w:t>82,742,400</w:t>
            </w:r>
          </w:p>
        </w:tc>
        <w:tc>
          <w:tcPr>
            <w:tcW w:w="720" w:type="pct"/>
          </w:tcPr>
          <w:p w14:paraId="75643BCA" w14:textId="77777777" w:rsidR="00691ABA" w:rsidRDefault="00691ABA">
            <w:pPr>
              <w:jc w:val="right"/>
            </w:pPr>
          </w:p>
        </w:tc>
        <w:tc>
          <w:tcPr>
            <w:tcW w:w="342" w:type="pct"/>
            <w:vAlign w:val="center"/>
          </w:tcPr>
          <w:p w14:paraId="2156BD0E" w14:textId="77777777" w:rsidR="00691ABA" w:rsidRDefault="001B438C">
            <w:pPr>
              <w:jc w:val="left"/>
            </w:pPr>
            <w:r>
              <w:t>无</w:t>
            </w:r>
          </w:p>
        </w:tc>
        <w:tc>
          <w:tcPr>
            <w:tcW w:w="617" w:type="pct"/>
            <w:vAlign w:val="center"/>
          </w:tcPr>
          <w:p w14:paraId="179F818E" w14:textId="77777777" w:rsidR="00691ABA" w:rsidRDefault="00691ABA">
            <w:pPr>
              <w:jc w:val="right"/>
            </w:pPr>
          </w:p>
        </w:tc>
      </w:tr>
      <w:tr w:rsidR="00A4338D" w14:paraId="1758080F" w14:textId="77777777" w:rsidTr="00A4338D">
        <w:trPr>
          <w:jc w:val="center"/>
        </w:trPr>
        <w:tc>
          <w:tcPr>
            <w:tcW w:w="1394" w:type="pct"/>
            <w:vAlign w:val="center"/>
          </w:tcPr>
          <w:p w14:paraId="0E455972" w14:textId="77777777" w:rsidR="00691ABA" w:rsidRDefault="001B438C">
            <w:pPr>
              <w:jc w:val="left"/>
            </w:pPr>
            <w:r>
              <w:rPr>
                <w:rFonts w:cstheme="minorBidi"/>
              </w:rPr>
              <w:t>山东步长制药股份有限公司回购专用证券账户</w:t>
            </w:r>
          </w:p>
        </w:tc>
        <w:tc>
          <w:tcPr>
            <w:tcW w:w="873" w:type="pct"/>
            <w:vAlign w:val="center"/>
          </w:tcPr>
          <w:p w14:paraId="158527DC" w14:textId="77777777" w:rsidR="00691ABA" w:rsidRDefault="001B438C">
            <w:pPr>
              <w:jc w:val="left"/>
            </w:pPr>
            <w:r>
              <w:t>其他</w:t>
            </w:r>
          </w:p>
        </w:tc>
        <w:tc>
          <w:tcPr>
            <w:tcW w:w="442" w:type="pct"/>
            <w:vAlign w:val="center"/>
          </w:tcPr>
          <w:p w14:paraId="3056D44D" w14:textId="77777777" w:rsidR="00691ABA" w:rsidRDefault="001B438C">
            <w:pPr>
              <w:jc w:val="right"/>
            </w:pPr>
            <w:r>
              <w:t>4.65</w:t>
            </w:r>
          </w:p>
        </w:tc>
        <w:tc>
          <w:tcPr>
            <w:tcW w:w="612" w:type="pct"/>
            <w:vAlign w:val="center"/>
          </w:tcPr>
          <w:p w14:paraId="0E1B5C5A" w14:textId="77777777" w:rsidR="00691ABA" w:rsidRDefault="001B438C">
            <w:pPr>
              <w:jc w:val="right"/>
            </w:pPr>
            <w:r>
              <w:t>51,474,203</w:t>
            </w:r>
          </w:p>
        </w:tc>
        <w:tc>
          <w:tcPr>
            <w:tcW w:w="720" w:type="pct"/>
          </w:tcPr>
          <w:p w14:paraId="4AB29C05" w14:textId="77777777" w:rsidR="00691ABA" w:rsidRDefault="00691ABA">
            <w:pPr>
              <w:jc w:val="right"/>
            </w:pPr>
          </w:p>
        </w:tc>
        <w:tc>
          <w:tcPr>
            <w:tcW w:w="342" w:type="pct"/>
            <w:vAlign w:val="center"/>
          </w:tcPr>
          <w:p w14:paraId="411855EA" w14:textId="77777777" w:rsidR="00691ABA" w:rsidRDefault="001B438C">
            <w:pPr>
              <w:jc w:val="left"/>
            </w:pPr>
            <w:r>
              <w:t>无</w:t>
            </w:r>
          </w:p>
        </w:tc>
        <w:tc>
          <w:tcPr>
            <w:tcW w:w="617" w:type="pct"/>
            <w:vAlign w:val="center"/>
          </w:tcPr>
          <w:p w14:paraId="5DA4D3A3" w14:textId="77777777" w:rsidR="00691ABA" w:rsidRDefault="00691ABA">
            <w:pPr>
              <w:jc w:val="right"/>
            </w:pPr>
          </w:p>
        </w:tc>
      </w:tr>
      <w:tr w:rsidR="00A4338D" w14:paraId="4E9D9E72" w14:textId="77777777" w:rsidTr="00A4338D">
        <w:trPr>
          <w:jc w:val="center"/>
        </w:trPr>
        <w:tc>
          <w:tcPr>
            <w:tcW w:w="1394" w:type="pct"/>
            <w:vAlign w:val="center"/>
          </w:tcPr>
          <w:p w14:paraId="2739D3E2" w14:textId="77777777" w:rsidR="00691ABA" w:rsidRDefault="001B438C">
            <w:pPr>
              <w:jc w:val="left"/>
            </w:pPr>
            <w:r>
              <w:rPr>
                <w:rFonts w:cstheme="minorBidi"/>
              </w:rPr>
              <w:t>刘少鸾</w:t>
            </w:r>
          </w:p>
        </w:tc>
        <w:tc>
          <w:tcPr>
            <w:tcW w:w="873" w:type="pct"/>
            <w:vAlign w:val="center"/>
          </w:tcPr>
          <w:p w14:paraId="708253EC" w14:textId="77777777" w:rsidR="00691ABA" w:rsidRDefault="001B438C">
            <w:pPr>
              <w:jc w:val="left"/>
            </w:pPr>
            <w:r>
              <w:t>境内自然人</w:t>
            </w:r>
          </w:p>
        </w:tc>
        <w:tc>
          <w:tcPr>
            <w:tcW w:w="442" w:type="pct"/>
            <w:vAlign w:val="center"/>
          </w:tcPr>
          <w:p w14:paraId="52DA883C" w14:textId="77777777" w:rsidR="00691ABA" w:rsidRDefault="001B438C">
            <w:pPr>
              <w:jc w:val="right"/>
            </w:pPr>
            <w:r>
              <w:t>2.39</w:t>
            </w:r>
          </w:p>
        </w:tc>
        <w:tc>
          <w:tcPr>
            <w:tcW w:w="612" w:type="pct"/>
            <w:vAlign w:val="center"/>
          </w:tcPr>
          <w:p w14:paraId="24A9373F" w14:textId="77777777" w:rsidR="00691ABA" w:rsidRDefault="001B438C">
            <w:pPr>
              <w:jc w:val="right"/>
            </w:pPr>
            <w:r>
              <w:t>26,458,982</w:t>
            </w:r>
          </w:p>
        </w:tc>
        <w:tc>
          <w:tcPr>
            <w:tcW w:w="720" w:type="pct"/>
          </w:tcPr>
          <w:p w14:paraId="0AB93060" w14:textId="77777777" w:rsidR="00691ABA" w:rsidRDefault="00691ABA">
            <w:pPr>
              <w:jc w:val="right"/>
            </w:pPr>
          </w:p>
        </w:tc>
        <w:tc>
          <w:tcPr>
            <w:tcW w:w="342" w:type="pct"/>
            <w:vAlign w:val="center"/>
          </w:tcPr>
          <w:p w14:paraId="7D818719" w14:textId="77777777" w:rsidR="00691ABA" w:rsidRDefault="001B438C">
            <w:pPr>
              <w:jc w:val="left"/>
            </w:pPr>
            <w:r>
              <w:t>无</w:t>
            </w:r>
          </w:p>
        </w:tc>
        <w:tc>
          <w:tcPr>
            <w:tcW w:w="617" w:type="pct"/>
            <w:vAlign w:val="center"/>
          </w:tcPr>
          <w:p w14:paraId="6D28BB12" w14:textId="77777777" w:rsidR="00691ABA" w:rsidRDefault="00691ABA">
            <w:pPr>
              <w:jc w:val="right"/>
            </w:pPr>
          </w:p>
        </w:tc>
      </w:tr>
      <w:tr w:rsidR="00A4338D" w14:paraId="398536FF" w14:textId="77777777" w:rsidTr="00A4338D">
        <w:trPr>
          <w:jc w:val="center"/>
        </w:trPr>
        <w:tc>
          <w:tcPr>
            <w:tcW w:w="1394" w:type="pct"/>
            <w:vAlign w:val="center"/>
          </w:tcPr>
          <w:p w14:paraId="0FD44D77" w14:textId="77777777" w:rsidR="00691ABA" w:rsidRDefault="001B438C">
            <w:pPr>
              <w:jc w:val="left"/>
            </w:pPr>
            <w:r>
              <w:rPr>
                <w:rFonts w:cstheme="minorBidi"/>
              </w:rPr>
              <w:t>杨伟</w:t>
            </w:r>
          </w:p>
        </w:tc>
        <w:tc>
          <w:tcPr>
            <w:tcW w:w="873" w:type="pct"/>
            <w:vAlign w:val="center"/>
          </w:tcPr>
          <w:p w14:paraId="5EAC7DBC" w14:textId="77777777" w:rsidR="00691ABA" w:rsidRDefault="001B438C">
            <w:pPr>
              <w:jc w:val="left"/>
            </w:pPr>
            <w:r>
              <w:t>境内自然人</w:t>
            </w:r>
          </w:p>
        </w:tc>
        <w:tc>
          <w:tcPr>
            <w:tcW w:w="442" w:type="pct"/>
            <w:vAlign w:val="center"/>
          </w:tcPr>
          <w:p w14:paraId="1A607548" w14:textId="77777777" w:rsidR="00691ABA" w:rsidRDefault="001B438C">
            <w:pPr>
              <w:jc w:val="right"/>
            </w:pPr>
            <w:r>
              <w:t>1.99</w:t>
            </w:r>
          </w:p>
        </w:tc>
        <w:tc>
          <w:tcPr>
            <w:tcW w:w="612" w:type="pct"/>
            <w:vAlign w:val="center"/>
          </w:tcPr>
          <w:p w14:paraId="018018C9" w14:textId="77777777" w:rsidR="00691ABA" w:rsidRDefault="001B438C">
            <w:pPr>
              <w:jc w:val="right"/>
            </w:pPr>
            <w:r>
              <w:t>22,030,145</w:t>
            </w:r>
          </w:p>
        </w:tc>
        <w:tc>
          <w:tcPr>
            <w:tcW w:w="720" w:type="pct"/>
          </w:tcPr>
          <w:p w14:paraId="2A439164" w14:textId="77777777" w:rsidR="00691ABA" w:rsidRDefault="00691ABA">
            <w:pPr>
              <w:jc w:val="right"/>
            </w:pPr>
          </w:p>
        </w:tc>
        <w:tc>
          <w:tcPr>
            <w:tcW w:w="342" w:type="pct"/>
            <w:vAlign w:val="center"/>
          </w:tcPr>
          <w:p w14:paraId="7D2D6FE9" w14:textId="77777777" w:rsidR="00691ABA" w:rsidRDefault="001B438C">
            <w:pPr>
              <w:jc w:val="left"/>
            </w:pPr>
            <w:r>
              <w:t>无</w:t>
            </w:r>
          </w:p>
        </w:tc>
        <w:tc>
          <w:tcPr>
            <w:tcW w:w="617" w:type="pct"/>
            <w:vAlign w:val="center"/>
          </w:tcPr>
          <w:p w14:paraId="532B2708" w14:textId="77777777" w:rsidR="00691ABA" w:rsidRDefault="00691ABA">
            <w:pPr>
              <w:jc w:val="right"/>
            </w:pPr>
          </w:p>
        </w:tc>
      </w:tr>
      <w:tr w:rsidR="00A4338D" w14:paraId="10A20D09" w14:textId="77777777" w:rsidTr="00A4338D">
        <w:trPr>
          <w:jc w:val="center"/>
        </w:trPr>
        <w:tc>
          <w:tcPr>
            <w:tcW w:w="1394" w:type="pct"/>
            <w:vAlign w:val="center"/>
          </w:tcPr>
          <w:p w14:paraId="469BAD5A" w14:textId="77777777" w:rsidR="00691ABA" w:rsidRDefault="001B438C">
            <w:pPr>
              <w:jc w:val="left"/>
            </w:pPr>
            <w:r>
              <w:rPr>
                <w:rFonts w:cstheme="minorBidi"/>
              </w:rPr>
              <w:t>西藏丹红企业管理有限公司</w:t>
            </w:r>
          </w:p>
        </w:tc>
        <w:tc>
          <w:tcPr>
            <w:tcW w:w="873" w:type="pct"/>
            <w:vAlign w:val="center"/>
          </w:tcPr>
          <w:p w14:paraId="5D5631EE" w14:textId="77777777" w:rsidR="00691ABA" w:rsidRDefault="001B438C">
            <w:pPr>
              <w:jc w:val="left"/>
            </w:pPr>
            <w:r>
              <w:t>境内非国有法人</w:t>
            </w:r>
          </w:p>
        </w:tc>
        <w:tc>
          <w:tcPr>
            <w:tcW w:w="442" w:type="pct"/>
            <w:vAlign w:val="center"/>
          </w:tcPr>
          <w:p w14:paraId="4EC6684D" w14:textId="77777777" w:rsidR="00691ABA" w:rsidRDefault="001B438C">
            <w:pPr>
              <w:jc w:val="right"/>
            </w:pPr>
            <w:r>
              <w:t>1.85</w:t>
            </w:r>
          </w:p>
        </w:tc>
        <w:tc>
          <w:tcPr>
            <w:tcW w:w="612" w:type="pct"/>
            <w:vAlign w:val="center"/>
          </w:tcPr>
          <w:p w14:paraId="2C9C40F1" w14:textId="77777777" w:rsidR="00691ABA" w:rsidRDefault="001B438C">
            <w:pPr>
              <w:jc w:val="right"/>
            </w:pPr>
            <w:r>
              <w:t>20,408,413</w:t>
            </w:r>
          </w:p>
        </w:tc>
        <w:tc>
          <w:tcPr>
            <w:tcW w:w="720" w:type="pct"/>
          </w:tcPr>
          <w:p w14:paraId="017437C5" w14:textId="77777777" w:rsidR="00691ABA" w:rsidRDefault="00691ABA">
            <w:pPr>
              <w:jc w:val="right"/>
            </w:pPr>
          </w:p>
        </w:tc>
        <w:tc>
          <w:tcPr>
            <w:tcW w:w="342" w:type="pct"/>
            <w:vAlign w:val="center"/>
          </w:tcPr>
          <w:p w14:paraId="628C285A" w14:textId="77777777" w:rsidR="00691ABA" w:rsidRDefault="001B438C">
            <w:pPr>
              <w:jc w:val="left"/>
            </w:pPr>
            <w:r>
              <w:t>无</w:t>
            </w:r>
          </w:p>
        </w:tc>
        <w:tc>
          <w:tcPr>
            <w:tcW w:w="617" w:type="pct"/>
            <w:vAlign w:val="center"/>
          </w:tcPr>
          <w:p w14:paraId="35F4EFD8" w14:textId="77777777" w:rsidR="00691ABA" w:rsidRDefault="00691ABA">
            <w:pPr>
              <w:jc w:val="right"/>
            </w:pPr>
          </w:p>
        </w:tc>
      </w:tr>
      <w:tr w:rsidR="00A4338D" w14:paraId="3B949859" w14:textId="77777777" w:rsidTr="00A4338D">
        <w:trPr>
          <w:jc w:val="center"/>
        </w:trPr>
        <w:tc>
          <w:tcPr>
            <w:tcW w:w="1394" w:type="pct"/>
            <w:vAlign w:val="center"/>
          </w:tcPr>
          <w:p w14:paraId="33DAC466" w14:textId="77777777" w:rsidR="00691ABA" w:rsidRDefault="001B438C">
            <w:pPr>
              <w:jc w:val="left"/>
            </w:pPr>
            <w:r>
              <w:rPr>
                <w:rFonts w:cstheme="minorBidi"/>
              </w:rPr>
              <w:t>香港中央结算有限公司</w:t>
            </w:r>
          </w:p>
        </w:tc>
        <w:tc>
          <w:tcPr>
            <w:tcW w:w="873" w:type="pct"/>
            <w:vAlign w:val="center"/>
          </w:tcPr>
          <w:p w14:paraId="6AAD4462" w14:textId="77777777" w:rsidR="00691ABA" w:rsidRDefault="001B438C">
            <w:pPr>
              <w:jc w:val="left"/>
            </w:pPr>
            <w:r>
              <w:t>其他</w:t>
            </w:r>
          </w:p>
        </w:tc>
        <w:tc>
          <w:tcPr>
            <w:tcW w:w="442" w:type="pct"/>
            <w:vAlign w:val="center"/>
          </w:tcPr>
          <w:p w14:paraId="142560CF" w14:textId="77777777" w:rsidR="00691ABA" w:rsidRDefault="001B438C">
            <w:pPr>
              <w:jc w:val="right"/>
            </w:pPr>
            <w:r>
              <w:t>1.07</w:t>
            </w:r>
          </w:p>
        </w:tc>
        <w:tc>
          <w:tcPr>
            <w:tcW w:w="612" w:type="pct"/>
            <w:vAlign w:val="center"/>
          </w:tcPr>
          <w:p w14:paraId="78FFACAD" w14:textId="77777777" w:rsidR="00691ABA" w:rsidRDefault="001B438C">
            <w:pPr>
              <w:jc w:val="right"/>
            </w:pPr>
            <w:r>
              <w:t>11,874,307</w:t>
            </w:r>
          </w:p>
        </w:tc>
        <w:tc>
          <w:tcPr>
            <w:tcW w:w="720" w:type="pct"/>
          </w:tcPr>
          <w:p w14:paraId="039073FE" w14:textId="77777777" w:rsidR="00691ABA" w:rsidRDefault="00691ABA">
            <w:pPr>
              <w:jc w:val="right"/>
            </w:pPr>
          </w:p>
        </w:tc>
        <w:tc>
          <w:tcPr>
            <w:tcW w:w="342" w:type="pct"/>
            <w:vAlign w:val="center"/>
          </w:tcPr>
          <w:p w14:paraId="57BE9696" w14:textId="77777777" w:rsidR="00691ABA" w:rsidRDefault="001B438C">
            <w:pPr>
              <w:jc w:val="left"/>
            </w:pPr>
            <w:r>
              <w:t>无</w:t>
            </w:r>
          </w:p>
        </w:tc>
        <w:tc>
          <w:tcPr>
            <w:tcW w:w="617" w:type="pct"/>
            <w:vAlign w:val="center"/>
          </w:tcPr>
          <w:p w14:paraId="45A3E4FD" w14:textId="77777777" w:rsidR="00691ABA" w:rsidRDefault="00691ABA">
            <w:pPr>
              <w:jc w:val="right"/>
            </w:pPr>
          </w:p>
        </w:tc>
      </w:tr>
      <w:tr w:rsidR="00A4338D" w14:paraId="0B2F628F" w14:textId="77777777" w:rsidTr="00A4338D">
        <w:trPr>
          <w:jc w:val="center"/>
        </w:trPr>
        <w:tc>
          <w:tcPr>
            <w:tcW w:w="1394" w:type="pct"/>
            <w:vAlign w:val="center"/>
          </w:tcPr>
          <w:p w14:paraId="4EA57163" w14:textId="77777777" w:rsidR="00691ABA" w:rsidRDefault="001B438C">
            <w:pPr>
              <w:jc w:val="left"/>
            </w:pPr>
            <w:r>
              <w:rPr>
                <w:rFonts w:cstheme="minorBidi"/>
              </w:rPr>
              <w:t>蓝色经济区产业投资基金（有限合伙）</w:t>
            </w:r>
          </w:p>
        </w:tc>
        <w:tc>
          <w:tcPr>
            <w:tcW w:w="873" w:type="pct"/>
            <w:vAlign w:val="center"/>
          </w:tcPr>
          <w:p w14:paraId="3BFBC1C0" w14:textId="77777777" w:rsidR="00691ABA" w:rsidRDefault="001B438C">
            <w:pPr>
              <w:jc w:val="left"/>
            </w:pPr>
            <w:r>
              <w:t>其他</w:t>
            </w:r>
          </w:p>
        </w:tc>
        <w:tc>
          <w:tcPr>
            <w:tcW w:w="442" w:type="pct"/>
            <w:vAlign w:val="center"/>
          </w:tcPr>
          <w:p w14:paraId="4444B3F9" w14:textId="77777777" w:rsidR="00691ABA" w:rsidRDefault="001B438C">
            <w:pPr>
              <w:jc w:val="right"/>
            </w:pPr>
            <w:r>
              <w:t>0.94</w:t>
            </w:r>
          </w:p>
        </w:tc>
        <w:tc>
          <w:tcPr>
            <w:tcW w:w="612" w:type="pct"/>
            <w:vAlign w:val="center"/>
          </w:tcPr>
          <w:p w14:paraId="1AB92D67" w14:textId="77777777" w:rsidR="00691ABA" w:rsidRDefault="001B438C">
            <w:pPr>
              <w:jc w:val="right"/>
            </w:pPr>
            <w:r>
              <w:t>10,342,800</w:t>
            </w:r>
          </w:p>
        </w:tc>
        <w:tc>
          <w:tcPr>
            <w:tcW w:w="720" w:type="pct"/>
          </w:tcPr>
          <w:p w14:paraId="4D0F8901" w14:textId="77777777" w:rsidR="00691ABA" w:rsidRDefault="00691ABA">
            <w:pPr>
              <w:jc w:val="right"/>
            </w:pPr>
          </w:p>
        </w:tc>
        <w:tc>
          <w:tcPr>
            <w:tcW w:w="342" w:type="pct"/>
            <w:vAlign w:val="center"/>
          </w:tcPr>
          <w:p w14:paraId="6807DB3B" w14:textId="77777777" w:rsidR="00691ABA" w:rsidRDefault="001B438C">
            <w:pPr>
              <w:jc w:val="left"/>
            </w:pPr>
            <w:r>
              <w:t>无</w:t>
            </w:r>
          </w:p>
        </w:tc>
        <w:tc>
          <w:tcPr>
            <w:tcW w:w="617" w:type="pct"/>
            <w:vAlign w:val="center"/>
          </w:tcPr>
          <w:p w14:paraId="1072478B" w14:textId="77777777" w:rsidR="00691ABA" w:rsidRDefault="00691ABA">
            <w:pPr>
              <w:jc w:val="right"/>
            </w:pPr>
          </w:p>
        </w:tc>
      </w:tr>
      <w:tr w:rsidR="00A4338D" w14:paraId="2FDBC0F9" w14:textId="77777777" w:rsidTr="00A4338D">
        <w:trPr>
          <w:jc w:val="center"/>
        </w:trPr>
        <w:tc>
          <w:tcPr>
            <w:tcW w:w="1394" w:type="pct"/>
            <w:vAlign w:val="center"/>
          </w:tcPr>
          <w:p w14:paraId="33E4D13B" w14:textId="77777777" w:rsidR="00691ABA" w:rsidRDefault="001B438C">
            <w:pPr>
              <w:jc w:val="left"/>
            </w:pPr>
            <w:proofErr w:type="gramStart"/>
            <w:r>
              <w:rPr>
                <w:rFonts w:cstheme="minorBidi"/>
              </w:rPr>
              <w:t>黄定旺</w:t>
            </w:r>
            <w:proofErr w:type="gramEnd"/>
          </w:p>
        </w:tc>
        <w:tc>
          <w:tcPr>
            <w:tcW w:w="873" w:type="pct"/>
            <w:vAlign w:val="center"/>
          </w:tcPr>
          <w:p w14:paraId="6C3B90A2" w14:textId="77777777" w:rsidR="00691ABA" w:rsidRDefault="001B438C">
            <w:pPr>
              <w:jc w:val="left"/>
            </w:pPr>
            <w:r>
              <w:t>境内自然人</w:t>
            </w:r>
          </w:p>
        </w:tc>
        <w:tc>
          <w:tcPr>
            <w:tcW w:w="442" w:type="pct"/>
            <w:vAlign w:val="center"/>
          </w:tcPr>
          <w:p w14:paraId="44288CA4" w14:textId="77777777" w:rsidR="00691ABA" w:rsidRDefault="001B438C">
            <w:pPr>
              <w:jc w:val="right"/>
            </w:pPr>
            <w:r>
              <w:t>0.90</w:t>
            </w:r>
          </w:p>
        </w:tc>
        <w:tc>
          <w:tcPr>
            <w:tcW w:w="612" w:type="pct"/>
            <w:vAlign w:val="center"/>
          </w:tcPr>
          <w:p w14:paraId="62A837BB" w14:textId="77777777" w:rsidR="00691ABA" w:rsidRDefault="001B438C">
            <w:pPr>
              <w:jc w:val="right"/>
            </w:pPr>
            <w:r>
              <w:t>9,900,000</w:t>
            </w:r>
          </w:p>
        </w:tc>
        <w:tc>
          <w:tcPr>
            <w:tcW w:w="720" w:type="pct"/>
          </w:tcPr>
          <w:p w14:paraId="6A6EFE10" w14:textId="77777777" w:rsidR="00691ABA" w:rsidRDefault="00691ABA">
            <w:pPr>
              <w:jc w:val="right"/>
            </w:pPr>
          </w:p>
        </w:tc>
        <w:tc>
          <w:tcPr>
            <w:tcW w:w="342" w:type="pct"/>
            <w:vAlign w:val="center"/>
          </w:tcPr>
          <w:p w14:paraId="3F1592B0" w14:textId="77777777" w:rsidR="00691ABA" w:rsidRDefault="001B438C">
            <w:pPr>
              <w:jc w:val="left"/>
            </w:pPr>
            <w:r>
              <w:t>无</w:t>
            </w:r>
          </w:p>
        </w:tc>
        <w:tc>
          <w:tcPr>
            <w:tcW w:w="617" w:type="pct"/>
            <w:vAlign w:val="center"/>
          </w:tcPr>
          <w:p w14:paraId="39A952D6" w14:textId="77777777" w:rsidR="00691ABA" w:rsidRDefault="00691ABA">
            <w:pPr>
              <w:jc w:val="right"/>
            </w:pPr>
          </w:p>
        </w:tc>
      </w:tr>
      <w:tr w:rsidR="00A4338D" w14:paraId="67EFF42F" w14:textId="77777777" w:rsidTr="00A4338D">
        <w:trPr>
          <w:jc w:val="center"/>
        </w:trPr>
        <w:tc>
          <w:tcPr>
            <w:tcW w:w="1394" w:type="pct"/>
            <w:vAlign w:val="center"/>
          </w:tcPr>
          <w:p w14:paraId="1C86D325" w14:textId="77777777" w:rsidR="00691ABA" w:rsidRDefault="001B438C">
            <w:pPr>
              <w:jc w:val="left"/>
            </w:pPr>
            <w:r>
              <w:rPr>
                <w:rFonts w:cstheme="minorBidi"/>
              </w:rPr>
              <w:t>中国农业银行股份有限公司－中证</w:t>
            </w:r>
            <w:r>
              <w:rPr>
                <w:rFonts w:cstheme="minorBidi"/>
              </w:rPr>
              <w:t>500</w:t>
            </w:r>
            <w:r>
              <w:rPr>
                <w:rFonts w:cstheme="minorBidi"/>
              </w:rPr>
              <w:t>交易型开放式指数证券投资基金</w:t>
            </w:r>
          </w:p>
        </w:tc>
        <w:tc>
          <w:tcPr>
            <w:tcW w:w="873" w:type="pct"/>
            <w:vAlign w:val="center"/>
          </w:tcPr>
          <w:p w14:paraId="7B5EFF3D" w14:textId="77777777" w:rsidR="00691ABA" w:rsidRDefault="001B438C">
            <w:pPr>
              <w:jc w:val="left"/>
            </w:pPr>
            <w:r>
              <w:t>其他</w:t>
            </w:r>
          </w:p>
        </w:tc>
        <w:tc>
          <w:tcPr>
            <w:tcW w:w="442" w:type="pct"/>
            <w:vAlign w:val="center"/>
          </w:tcPr>
          <w:p w14:paraId="0672CE56" w14:textId="77777777" w:rsidR="00691ABA" w:rsidRDefault="001B438C">
            <w:pPr>
              <w:jc w:val="right"/>
            </w:pPr>
            <w:r>
              <w:t>0.74</w:t>
            </w:r>
          </w:p>
        </w:tc>
        <w:tc>
          <w:tcPr>
            <w:tcW w:w="612" w:type="pct"/>
            <w:vAlign w:val="center"/>
          </w:tcPr>
          <w:p w14:paraId="7D62606D" w14:textId="77777777" w:rsidR="00691ABA" w:rsidRDefault="001B438C">
            <w:pPr>
              <w:jc w:val="right"/>
            </w:pPr>
            <w:r>
              <w:t>8,186,412</w:t>
            </w:r>
          </w:p>
        </w:tc>
        <w:tc>
          <w:tcPr>
            <w:tcW w:w="720" w:type="pct"/>
          </w:tcPr>
          <w:p w14:paraId="421A35BA" w14:textId="77777777" w:rsidR="00691ABA" w:rsidRDefault="00691ABA">
            <w:pPr>
              <w:jc w:val="right"/>
            </w:pPr>
          </w:p>
        </w:tc>
        <w:tc>
          <w:tcPr>
            <w:tcW w:w="342" w:type="pct"/>
            <w:vAlign w:val="center"/>
          </w:tcPr>
          <w:p w14:paraId="028BEB6E" w14:textId="77777777" w:rsidR="00691ABA" w:rsidRDefault="001B438C">
            <w:pPr>
              <w:jc w:val="left"/>
            </w:pPr>
            <w:r>
              <w:t>无</w:t>
            </w:r>
          </w:p>
        </w:tc>
        <w:tc>
          <w:tcPr>
            <w:tcW w:w="617" w:type="pct"/>
            <w:vAlign w:val="center"/>
          </w:tcPr>
          <w:p w14:paraId="4CD379AE" w14:textId="77777777" w:rsidR="00691ABA" w:rsidRDefault="00691ABA">
            <w:pPr>
              <w:jc w:val="right"/>
            </w:pPr>
          </w:p>
        </w:tc>
      </w:tr>
      <w:tr w:rsidR="00691ABA" w14:paraId="76878B08" w14:textId="77777777" w:rsidTr="004C0198">
        <w:trPr>
          <w:jc w:val="center"/>
        </w:trPr>
        <w:tc>
          <w:tcPr>
            <w:tcW w:w="2267" w:type="pct"/>
            <w:gridSpan w:val="2"/>
            <w:vAlign w:val="center"/>
          </w:tcPr>
          <w:p w14:paraId="61CB46CA" w14:textId="77777777" w:rsidR="00691ABA" w:rsidRDefault="001B438C" w:rsidP="004C0198">
            <w:pPr>
              <w:jc w:val="left"/>
            </w:pPr>
            <w:r>
              <w:rPr>
                <w:rFonts w:cs="宋体" w:hint="eastAsia"/>
                <w:szCs w:val="21"/>
              </w:rPr>
              <w:t>上述股东关联关系或一致行动的说明</w:t>
            </w:r>
            <w:bookmarkStart w:id="0" w:name="_GoBack"/>
            <w:bookmarkEnd w:id="0"/>
          </w:p>
        </w:tc>
        <w:tc>
          <w:tcPr>
            <w:tcW w:w="2733" w:type="pct"/>
            <w:gridSpan w:val="5"/>
            <w:vAlign w:val="center"/>
          </w:tcPr>
          <w:p w14:paraId="4E679337" w14:textId="6896C0A6" w:rsidR="00691ABA" w:rsidRDefault="00A4338D">
            <w:pPr>
              <w:ind w:firstLineChars="200" w:firstLine="420"/>
              <w:jc w:val="left"/>
            </w:pPr>
            <w:r>
              <w:rPr>
                <w:rFonts w:cstheme="minorBidi"/>
              </w:rPr>
              <w:t>步长（香港）控股有限公司</w:t>
            </w:r>
            <w:r w:rsidR="001B438C">
              <w:t>、</w:t>
            </w:r>
            <w:proofErr w:type="gramStart"/>
            <w:r w:rsidR="001B438C">
              <w:t>首诚国际</w:t>
            </w:r>
            <w:proofErr w:type="gramEnd"/>
            <w:r w:rsidR="001B438C">
              <w:t>（香港）</w:t>
            </w:r>
            <w:r>
              <w:rPr>
                <w:rFonts w:hint="eastAsia"/>
              </w:rPr>
              <w:t>有限公司</w:t>
            </w:r>
            <w:r w:rsidR="001B438C">
              <w:t>的控股股东均为大得控股有限公司，实际控制人均为赵涛；西藏丹红企业管理有限公司的实际控制人为赵晓红。赵涛、赵晓红为夫妻关系；刘少鸾和杨伟为夫妻关系。未知其他股东是否存在关联关系或一致行动。</w:t>
            </w:r>
          </w:p>
        </w:tc>
      </w:tr>
      <w:tr w:rsidR="00691ABA" w14:paraId="7A96B69F" w14:textId="77777777" w:rsidTr="00A4338D">
        <w:trPr>
          <w:jc w:val="center"/>
        </w:trPr>
        <w:tc>
          <w:tcPr>
            <w:tcW w:w="2267" w:type="pct"/>
            <w:gridSpan w:val="2"/>
          </w:tcPr>
          <w:p w14:paraId="48ED9AE1" w14:textId="77777777" w:rsidR="00691ABA" w:rsidRDefault="001B438C">
            <w:pPr>
              <w:rPr>
                <w:rFonts w:cs="宋体"/>
                <w:szCs w:val="21"/>
              </w:rPr>
            </w:pPr>
            <w:r>
              <w:rPr>
                <w:rFonts w:cs="宋体" w:hint="eastAsia"/>
                <w:szCs w:val="21"/>
              </w:rPr>
              <w:t>表决权恢复的优先股股东及持股数量的说明</w:t>
            </w:r>
          </w:p>
        </w:tc>
        <w:tc>
          <w:tcPr>
            <w:tcW w:w="2733" w:type="pct"/>
            <w:gridSpan w:val="5"/>
            <w:vAlign w:val="center"/>
          </w:tcPr>
          <w:p w14:paraId="5E5B9602" w14:textId="77777777" w:rsidR="00691ABA" w:rsidRDefault="001B438C">
            <w:pPr>
              <w:ind w:firstLineChars="200" w:firstLine="420"/>
              <w:jc w:val="left"/>
            </w:pPr>
            <w:r>
              <w:t>无</w:t>
            </w:r>
          </w:p>
        </w:tc>
      </w:tr>
    </w:tbl>
    <w:p w14:paraId="11DD8CDD" w14:textId="6F1A6D9A" w:rsidR="00691ABA" w:rsidRDefault="00691ABA"/>
    <w:p w14:paraId="4C9617D4" w14:textId="74AECA10" w:rsidR="00691ABA" w:rsidRDefault="001B438C">
      <w:pPr>
        <w:pStyle w:val="20"/>
        <w:numPr>
          <w:ilvl w:val="0"/>
          <w:numId w:val="23"/>
        </w:numPr>
        <w:spacing w:before="0" w:after="0" w:line="360" w:lineRule="auto"/>
        <w:ind w:left="0" w:firstLine="0"/>
        <w:rPr>
          <w:rFonts w:ascii="Times New Roman" w:hAnsi="Times New Roman"/>
        </w:rPr>
      </w:pPr>
      <w:r>
        <w:rPr>
          <w:rFonts w:ascii="Times New Roman" w:hAnsi="Times New Roman"/>
        </w:rPr>
        <w:lastRenderedPageBreak/>
        <w:t>截至报告期末的</w:t>
      </w:r>
      <w:r>
        <w:rPr>
          <w:rFonts w:ascii="Times New Roman" w:hAnsi="Times New Roman" w:hint="eastAsia"/>
        </w:rPr>
        <w:t>优先股</w:t>
      </w:r>
      <w:r>
        <w:rPr>
          <w:rFonts w:ascii="Times New Roman" w:hAnsi="Times New Roman"/>
        </w:rPr>
        <w:t>股东总数、前</w:t>
      </w:r>
      <w:r>
        <w:rPr>
          <w:rFonts w:ascii="Times New Roman" w:hAnsi="Times New Roman" w:hint="eastAsia"/>
        </w:rPr>
        <w:t>1</w:t>
      </w:r>
      <w:r>
        <w:rPr>
          <w:rFonts w:ascii="Times New Roman" w:hAnsi="Times New Roman"/>
        </w:rPr>
        <w:t>0</w:t>
      </w:r>
      <w:r>
        <w:rPr>
          <w:rFonts w:ascii="Times New Roman" w:hAnsi="Times New Roman"/>
        </w:rPr>
        <w:t>名</w:t>
      </w:r>
      <w:r>
        <w:rPr>
          <w:rFonts w:ascii="Times New Roman" w:hAnsi="Times New Roman" w:hint="eastAsia"/>
        </w:rPr>
        <w:t>优先股</w:t>
      </w:r>
      <w:r>
        <w:rPr>
          <w:rFonts w:ascii="Times New Roman" w:hAnsi="Times New Roman"/>
        </w:rPr>
        <w:t>股东情况表</w:t>
      </w:r>
    </w:p>
    <w:p w14:paraId="351CF67C" w14:textId="63EBA474" w:rsidR="00691ABA" w:rsidRDefault="001B438C">
      <w:pPr>
        <w:rPr>
          <w:rFonts w:ascii="宋体" w:hAnsi="宋体"/>
        </w:rPr>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6210EB8D" w14:textId="77777777" w:rsidR="00A4338D" w:rsidRDefault="00A4338D"/>
    <w:p w14:paraId="0DDE4A80" w14:textId="77777777" w:rsidR="00691ABA" w:rsidRDefault="001B438C">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t>控股股东或实际控制人变更情况</w:t>
      </w:r>
    </w:p>
    <w:p w14:paraId="23DCD9C8" w14:textId="77777777" w:rsidR="00691ABA" w:rsidRDefault="001B438C">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16871B37" w14:textId="77777777" w:rsidR="00691ABA" w:rsidRDefault="00691ABA"/>
    <w:p w14:paraId="582BC1F4" w14:textId="2F1FA364" w:rsidR="00691ABA" w:rsidRDefault="001B438C">
      <w:pPr>
        <w:pStyle w:val="20"/>
        <w:numPr>
          <w:ilvl w:val="0"/>
          <w:numId w:val="23"/>
        </w:numPr>
        <w:spacing w:before="0" w:after="0" w:line="360" w:lineRule="auto"/>
        <w:ind w:left="0" w:firstLine="0"/>
        <w:rPr>
          <w:rFonts w:ascii="Times New Roman" w:hAnsi="Times New Roman"/>
        </w:rPr>
      </w:pPr>
      <w:r>
        <w:rPr>
          <w:rFonts w:ascii="Times New Roman" w:hAnsi="Times New Roman" w:hint="eastAsia"/>
        </w:rPr>
        <w:t>在半年度报告</w:t>
      </w:r>
      <w:r>
        <w:rPr>
          <w:rFonts w:ascii="Times New Roman" w:hAnsi="Times New Roman"/>
        </w:rPr>
        <w:t>批准报出日存续的债券情况</w:t>
      </w:r>
    </w:p>
    <w:p w14:paraId="6BCBEFDE" w14:textId="64B8E9F5" w:rsidR="00691ABA" w:rsidRDefault="001B438C">
      <w:r>
        <w:rPr>
          <w:rFonts w:ascii="宋体" w:hAnsi="宋体"/>
        </w:rPr>
        <w:fldChar w:fldCharType="begin"/>
      </w:r>
      <w:r>
        <w:rPr>
          <w:rFonts w:ascii="宋体" w:hAnsi="宋体"/>
        </w:rPr>
        <w:instrText xml:space="preserve"> </w:instrText>
      </w:r>
      <w:r>
        <w:rPr>
          <w:rFonts w:ascii="宋体" w:hAnsi="宋体" w:hint="eastAsia"/>
        </w:rPr>
        <w:instrText xml:space="preserve">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667C912F" w14:textId="15E96470" w:rsidR="00691ABA" w:rsidRDefault="001B438C">
      <w:pPr>
        <w:pStyle w:val="10"/>
        <w:spacing w:line="240" w:lineRule="auto"/>
        <w:rPr>
          <w:sz w:val="24"/>
          <w:szCs w:val="24"/>
        </w:rPr>
      </w:pPr>
      <w:r>
        <w:rPr>
          <w:rFonts w:hint="eastAsia"/>
          <w:sz w:val="24"/>
          <w:szCs w:val="24"/>
        </w:rPr>
        <w:t>第三节</w:t>
      </w:r>
      <w:r>
        <w:rPr>
          <w:rFonts w:hint="eastAsia"/>
          <w:sz w:val="24"/>
          <w:szCs w:val="24"/>
        </w:rPr>
        <w:t xml:space="preserve"> </w:t>
      </w:r>
      <w:r>
        <w:rPr>
          <w:rFonts w:hint="eastAsia"/>
          <w:sz w:val="24"/>
          <w:szCs w:val="24"/>
        </w:rPr>
        <w:t>重要事项</w:t>
      </w:r>
    </w:p>
    <w:p w14:paraId="201C06D8" w14:textId="2A32AF5D" w:rsidR="00691ABA" w:rsidRDefault="001B438C">
      <w:pPr>
        <w:rPr>
          <w:b/>
          <w:bCs/>
        </w:rPr>
      </w:pPr>
      <w:r>
        <w:rPr>
          <w:rFonts w:hint="eastAsia"/>
          <w:b/>
          <w:bCs/>
        </w:rPr>
        <w:t>公司应当根据重要性原则，说明报告期内公司经营情况的重大变化，以及报告期内发生的对公司经营情况有重大影响和预计未来会有重大影响的事项</w:t>
      </w:r>
    </w:p>
    <w:p w14:paraId="6E3F48DC" w14:textId="77777777" w:rsidR="00691ABA" w:rsidRDefault="001B438C">
      <w:r>
        <w:rPr>
          <w:rFonts w:ascii="宋体" w:hAnsi="宋体"/>
        </w:rPr>
        <w:fldChar w:fldCharType="begin"/>
      </w:r>
      <w:r>
        <w:rPr>
          <w:rFonts w:ascii="宋体" w:hAnsi="宋体"/>
        </w:rPr>
        <w:instrText xml:space="preserve"> </w:instrText>
      </w:r>
      <w:r>
        <w:rPr>
          <w:rFonts w:ascii="宋体" w:hAnsi="宋体" w:hint="eastAsia"/>
        </w:rPr>
        <w:instrText xml:space="preserve">MACROBUTTON SnrToggleCheckbox □适用 </w:instrText>
      </w:r>
      <w:r>
        <w:rPr>
          <w:rFonts w:ascii="宋体" w:hAnsi="宋体"/>
        </w:rPr>
        <w:fldChar w:fldCharType="end"/>
      </w:r>
      <w:r>
        <w:rPr>
          <w:rFonts w:ascii="宋体" w:hAnsi="宋体"/>
        </w:rPr>
        <w:fldChar w:fldCharType="begin"/>
      </w:r>
      <w:r>
        <w:rPr>
          <w:rFonts w:ascii="宋体" w:hAnsi="宋体"/>
        </w:rPr>
        <w:instrText xml:space="preserve">MACROBUTTON  SnrToggleCheckbox √不适用 </w:instrText>
      </w:r>
      <w:r>
        <w:rPr>
          <w:rFonts w:ascii="宋体" w:hAnsi="宋体"/>
        </w:rPr>
        <w:fldChar w:fldCharType="end"/>
      </w:r>
    </w:p>
    <w:p w14:paraId="146FDFF0" w14:textId="7C50B353" w:rsidR="00691ABA" w:rsidRDefault="00691ABA"/>
    <w:p w14:paraId="2F370743" w14:textId="765B6712" w:rsidR="00691ABA" w:rsidRDefault="00691ABA"/>
    <w:sectPr w:rsidR="00691ABA" w:rsidSect="00AF5A12">
      <w:headerReference w:type="default" r:id="rId8"/>
      <w:pgSz w:w="11906" w:h="16838"/>
      <w:pgMar w:top="1528" w:right="1274" w:bottom="1440" w:left="1800" w:header="855"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6C4AB" w14:textId="77777777" w:rsidR="00754EEA" w:rsidRDefault="00754EEA" w:rsidP="00365E23">
      <w:r>
        <w:separator/>
      </w:r>
    </w:p>
  </w:endnote>
  <w:endnote w:type="continuationSeparator" w:id="0">
    <w:p w14:paraId="6B7CE259" w14:textId="77777777" w:rsidR="00754EEA" w:rsidRDefault="00754EEA"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Helvetica Neue"/>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5A39D" w14:textId="77777777" w:rsidR="00754EEA" w:rsidRDefault="00754EEA" w:rsidP="00365E23">
      <w:r>
        <w:separator/>
      </w:r>
    </w:p>
  </w:footnote>
  <w:footnote w:type="continuationSeparator" w:id="0">
    <w:p w14:paraId="37AD8467" w14:textId="77777777" w:rsidR="00754EEA" w:rsidRDefault="00754EEA" w:rsidP="00365E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764F" w14:textId="397964C9" w:rsidR="00672F15" w:rsidRPr="00672F15" w:rsidRDefault="00754EEA">
    <w:pPr>
      <w:pStyle w:val="af"/>
      <w:rPr>
        <w:rFonts w:ascii="宋体" w:hAnsi="宋体"/>
      </w:rPr>
    </w:pPr>
    <w:sdt>
      <w:sdtPr>
        <w:rPr>
          <w:rFonts w:ascii="宋体" w:hAnsi="宋体" w:hint="eastAsia"/>
        </w:rPr>
        <w:alias w:val="公司法定中文名称"/>
        <w:tag w:val="_GBC_c4808a6d1817485fbc77c332d88f8f35"/>
        <w:id w:val="1335029295"/>
        <w:dataBinding w:prefixMappings="xmlns:clcid-cgi='clcid-cgi'" w:xpath="/*/clcid-cgi:GongSiFaDingZhongWenMingCheng[not(@periodRef)]" w:storeItemID="{89EBAB94-44A0-46A2-B712-30D997D04A6D}"/>
        <w:text/>
      </w:sdtPr>
      <w:sdtEndPr/>
      <w:sdtContent>
        <w:r w:rsidR="00672F15" w:rsidRPr="00672F15">
          <w:rPr>
            <w:rFonts w:ascii="宋体" w:hAnsi="宋体" w:hint="eastAsia"/>
          </w:rPr>
          <w:t>山东步长制药股份有限公司</w:t>
        </w:r>
      </w:sdtContent>
    </w:sdt>
    <w:r w:rsidR="00672F15" w:rsidRPr="00672F15">
      <w:rPr>
        <w:rFonts w:ascii="宋体" w:hAnsi="宋体" w:hint="eastAsia"/>
      </w:rPr>
      <w:t>2</w:t>
    </w:r>
    <w:r w:rsidR="00672F15" w:rsidRPr="00672F15">
      <w:rPr>
        <w:rFonts w:ascii="宋体" w:hAnsi="宋体"/>
      </w:rPr>
      <w:t>025年半年度报告摘要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406"/>
    <w:multiLevelType w:val="multilevel"/>
    <w:tmpl w:val="21C26D54"/>
    <w:styleLink w:val="4"/>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0122678"/>
    <w:multiLevelType w:val="multilevel"/>
    <w:tmpl w:val="21C26D54"/>
    <w:numStyleLink w:val="4"/>
  </w:abstractNum>
  <w:abstractNum w:abstractNumId="2" w15:restartNumberingAfterBreak="0">
    <w:nsid w:val="14135AC6"/>
    <w:multiLevelType w:val="hybridMultilevel"/>
    <w:tmpl w:val="13C826C0"/>
    <w:lvl w:ilvl="0" w:tplc="0504ECA8">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7B4F61"/>
    <w:multiLevelType w:val="multilevel"/>
    <w:tmpl w:val="DA6E33D8"/>
    <w:lvl w:ilvl="0">
      <w:start w:val="1"/>
      <w:numFmt w:val="decimal"/>
      <w:lvlText w:val="1.%1"/>
      <w:lvlJc w:val="left"/>
      <w:pPr>
        <w:ind w:left="425" w:hanging="425"/>
      </w:pPr>
      <w:rPr>
        <w:rFonts w:asciiTheme="minorEastAsia" w:eastAsiaTheme="minorEastAsia" w:hAnsiTheme="minorEastAsia"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CF75648"/>
    <w:multiLevelType w:val="multilevel"/>
    <w:tmpl w:val="E910A016"/>
    <w:lvl w:ilvl="0">
      <w:start w:val="1"/>
      <w:numFmt w:val="decimal"/>
      <w:lvlText w:val="%1"/>
      <w:lvlJc w:val="left"/>
      <w:pPr>
        <w:ind w:left="425" w:hanging="425"/>
      </w:pPr>
      <w:rPr>
        <w:rFonts w:ascii="宋体" w:eastAsia="宋体" w:hAnsi="宋体" w:hint="eastAsia"/>
        <w:sz w:val="21"/>
        <w:szCs w:val="21"/>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04F3B0A"/>
    <w:multiLevelType w:val="multilevel"/>
    <w:tmpl w:val="F920FA50"/>
    <w:name w:val="main"/>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46C0E3A"/>
    <w:multiLevelType w:val="multilevel"/>
    <w:tmpl w:val="F920FA50"/>
    <w:name w:val="main22"/>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57F3F53"/>
    <w:multiLevelType w:val="hybridMultilevel"/>
    <w:tmpl w:val="2F100250"/>
    <w:lvl w:ilvl="0" w:tplc="6A686F68">
      <w:start w:val="1"/>
      <w:numFmt w:val="decimal"/>
      <w:lvlText w:val="1.%1"/>
      <w:lvlJc w:val="right"/>
      <w:pPr>
        <w:ind w:left="21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374A22"/>
    <w:multiLevelType w:val="hybridMultilevel"/>
    <w:tmpl w:val="8FA08058"/>
    <w:lvl w:ilvl="0" w:tplc="F05A586A">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771493"/>
    <w:multiLevelType w:val="multilevel"/>
    <w:tmpl w:val="D8E42A32"/>
    <w:styleLink w:val="6"/>
    <w:lvl w:ilvl="0">
      <w:start w:val="1"/>
      <w:numFmt w:val="decimal"/>
      <w:lvlText w:val="%1"/>
      <w:lvlJc w:val="left"/>
      <w:pPr>
        <w:ind w:left="425" w:hanging="425"/>
      </w:pPr>
      <w:rPr>
        <w:rFonts w:hint="eastAsia"/>
        <w:color w:val="auto"/>
        <w:u w:val="none"/>
      </w:rPr>
    </w:lvl>
    <w:lvl w:ilvl="1">
      <w:start w:val="1"/>
      <w:numFmt w:val="decimal"/>
      <w:suff w:val="space"/>
      <w:lvlText w:val="%1.%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E50D1B"/>
    <w:multiLevelType w:val="multilevel"/>
    <w:tmpl w:val="FDAA18C4"/>
    <w:styleLink w:val="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2AC0AED"/>
    <w:multiLevelType w:val="hybridMultilevel"/>
    <w:tmpl w:val="991EABE4"/>
    <w:lvl w:ilvl="0" w:tplc="B2A05454">
      <w:start w:val="1"/>
      <w:numFmt w:val="decimal"/>
      <w:lvlText w:val="1.%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2D24C2"/>
    <w:multiLevelType w:val="multilevel"/>
    <w:tmpl w:val="AAA647E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26805F7"/>
    <w:multiLevelType w:val="hybridMultilevel"/>
    <w:tmpl w:val="F6966332"/>
    <w:lvl w:ilvl="0" w:tplc="14D6A02E">
      <w:start w:val="1"/>
      <w:numFmt w:val="decimal"/>
      <w:lvlText w:val="4.%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6356205D"/>
    <w:multiLevelType w:val="multilevel"/>
    <w:tmpl w:val="BC8CCCBA"/>
    <w:styleLink w:val="2"/>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4BA0CC9"/>
    <w:multiLevelType w:val="multilevel"/>
    <w:tmpl w:val="D8E42A32"/>
    <w:lvl w:ilvl="0">
      <w:start w:val="1"/>
      <w:numFmt w:val="decimal"/>
      <w:lvlText w:val="%1"/>
      <w:lvlJc w:val="left"/>
      <w:pPr>
        <w:ind w:left="425" w:hanging="425"/>
      </w:pPr>
      <w:rPr>
        <w:rFonts w:hint="eastAsia"/>
        <w:color w:val="auto"/>
        <w:u w:val="none"/>
      </w:rPr>
    </w:lvl>
    <w:lvl w:ilvl="1">
      <w:start w:val="1"/>
      <w:numFmt w:val="decimal"/>
      <w:suff w:val="space"/>
      <w:lvlText w:val="%1.%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DD71B09"/>
    <w:multiLevelType w:val="multilevel"/>
    <w:tmpl w:val="79F88348"/>
    <w:lvl w:ilvl="0">
      <w:start w:val="1"/>
      <w:numFmt w:val="decimal"/>
      <w:lvlText w:val="2.%1"/>
      <w:lvlJc w:val="left"/>
      <w:pPr>
        <w:ind w:left="425" w:hanging="425"/>
      </w:pPr>
      <w:rPr>
        <w:rFonts w:asciiTheme="minorEastAsia" w:eastAsiaTheme="minorEastAsia" w:hAnsiTheme="minorEastAsia"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10E79EC"/>
    <w:multiLevelType w:val="multilevel"/>
    <w:tmpl w:val="AEACA9CE"/>
    <w:name w:val="main2"/>
    <w:styleLink w:val="3"/>
    <w:lvl w:ilvl="0">
      <w:start w:val="1"/>
      <w:numFmt w:val="chineseCountingThousand"/>
      <w:lvlText w:val="第%1节"/>
      <w:lvlJc w:val="left"/>
      <w:pPr>
        <w:ind w:left="425" w:hanging="425"/>
      </w:pPr>
      <w:rPr>
        <w:rFonts w:hint="eastAsia"/>
        <w:color w:val="auto"/>
        <w:u w:val="none"/>
      </w:rPr>
    </w:lvl>
    <w:lvl w:ilvl="1">
      <w:start w:val="1"/>
      <w:numFmt w:val="chineseCountingThousand"/>
      <w:lvlText w:val="%2、"/>
      <w:lvlJc w:val="left"/>
      <w:pPr>
        <w:ind w:left="992" w:hanging="567"/>
      </w:pPr>
      <w:rPr>
        <w:rFonts w:hint="eastAsia"/>
        <w:color w:val="auto"/>
      </w:rPr>
    </w:lvl>
    <w:lvl w:ilvl="2">
      <w:start w:val="1"/>
      <w:numFmt w:val="chineseCountingThousand"/>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3315F9F"/>
    <w:multiLevelType w:val="multilevel"/>
    <w:tmpl w:val="AEACA9CE"/>
    <w:name w:val="main22"/>
    <w:numStyleLink w:val="3"/>
  </w:abstractNum>
  <w:abstractNum w:abstractNumId="23" w15:restartNumberingAfterBreak="0">
    <w:nsid w:val="7A7E0CFB"/>
    <w:multiLevelType w:val="multilevel"/>
    <w:tmpl w:val="D8E42A32"/>
    <w:numStyleLink w:val="6"/>
  </w:abstractNum>
  <w:abstractNum w:abstractNumId="24" w15:restartNumberingAfterBreak="0">
    <w:nsid w:val="7D9E582A"/>
    <w:multiLevelType w:val="multilevel"/>
    <w:tmpl w:val="661C989C"/>
    <w:styleLink w:val="5"/>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6"/>
  </w:num>
  <w:num w:numId="2">
    <w:abstractNumId w:val="18"/>
  </w:num>
  <w:num w:numId="3">
    <w:abstractNumId w:val="21"/>
  </w:num>
  <w:num w:numId="4">
    <w:abstractNumId w:val="1"/>
  </w:num>
  <w:num w:numId="5">
    <w:abstractNumId w:val="0"/>
  </w:num>
  <w:num w:numId="6">
    <w:abstractNumId w:val="24"/>
  </w:num>
  <w:num w:numId="7">
    <w:abstractNumId w:val="23"/>
    <w:lvlOverride w:ilvl="0">
      <w:lvl w:ilvl="0">
        <w:start w:val="1"/>
        <w:numFmt w:val="decimal"/>
        <w:lvlText w:val="%1"/>
        <w:lvlJc w:val="left"/>
        <w:pPr>
          <w:ind w:left="425" w:hanging="425"/>
        </w:pPr>
        <w:rPr>
          <w:rFonts w:hint="eastAsia"/>
          <w:color w:val="auto"/>
          <w:u w:val="none"/>
        </w:rPr>
      </w:lvl>
    </w:lvlOverride>
    <w:lvlOverride w:ilvl="1">
      <w:lvl w:ilvl="1">
        <w:start w:val="1"/>
        <w:numFmt w:val="decimal"/>
        <w:suff w:val="space"/>
        <w:lvlText w:val="%1.%2"/>
        <w:lvlJc w:val="left"/>
        <w:pPr>
          <w:ind w:left="992" w:hanging="567"/>
        </w:pPr>
        <w:rPr>
          <w:rFonts w:ascii="宋体" w:eastAsia="宋体" w:hAnsi="宋体" w:hint="eastAsia"/>
          <w:b w:val="0"/>
          <w:color w:val="auto"/>
        </w:rPr>
      </w:lvl>
    </w:lvlOverride>
    <w:lvlOverride w:ilvl="2">
      <w:lvl w:ilvl="2">
        <w:start w:val="1"/>
        <w:numFmt w:val="chineseCountingThousand"/>
        <w:lvlText w:val="（%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8">
    <w:abstractNumId w:val="11"/>
  </w:num>
  <w:num w:numId="9">
    <w:abstractNumId w:val="13"/>
  </w:num>
  <w:num w:numId="10">
    <w:abstractNumId w:val="2"/>
  </w:num>
  <w:num w:numId="11">
    <w:abstractNumId w:val="19"/>
  </w:num>
  <w:num w:numId="12">
    <w:abstractNumId w:val="8"/>
  </w:num>
  <w:num w:numId="13">
    <w:abstractNumId w:val="15"/>
  </w:num>
  <w:num w:numId="14">
    <w:abstractNumId w:val="17"/>
  </w:num>
  <w:num w:numId="15">
    <w:abstractNumId w:val="10"/>
  </w:num>
  <w:num w:numId="16">
    <w:abstractNumId w:val="9"/>
  </w:num>
  <w:num w:numId="17">
    <w:abstractNumId w:val="23"/>
    <w:lvlOverride w:ilvl="0">
      <w:lvl w:ilvl="0">
        <w:start w:val="1"/>
        <w:numFmt w:val="decimal"/>
        <w:lvlText w:val="%1.1"/>
        <w:lvlJc w:val="right"/>
        <w:pPr>
          <w:ind w:left="2100" w:hanging="420"/>
        </w:pPr>
        <w:rPr>
          <w:rFonts w:hint="eastAsia"/>
        </w:rPr>
      </w:lvl>
    </w:lvlOverride>
    <w:lvlOverride w:ilvl="1">
      <w:lvl w:ilvl="1">
        <w:start w:val="1"/>
        <w:numFmt w:val="lowerLetter"/>
        <w:lvlText w:val="%2)"/>
        <w:lvlJc w:val="left"/>
        <w:pPr>
          <w:ind w:left="840" w:hanging="420"/>
        </w:pPr>
        <w:rPr>
          <w:rFonts w:hint="eastAsia"/>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 w:numId="18">
    <w:abstractNumId w:val="3"/>
  </w:num>
  <w:num w:numId="19">
    <w:abstractNumId w:val="12"/>
  </w:num>
  <w:num w:numId="20">
    <w:abstractNumId w:val="4"/>
  </w:num>
  <w:num w:numId="21">
    <w:abstractNumId w:val="7"/>
  </w:num>
  <w:num w:numId="22">
    <w:abstractNumId w:val="14"/>
  </w:num>
  <w:num w:numId="23">
    <w:abstractNumId w:val="20"/>
  </w:num>
  <w:num w:numId="24">
    <w:abstractNumId w:val="23"/>
    <w:lvlOverride w:ilvl="0">
      <w:lvl w:ilvl="0">
        <w:start w:val="1"/>
        <w:numFmt w:val="decimal"/>
        <w:lvlText w:val="%1."/>
        <w:lvlJc w:val="left"/>
        <w:pPr>
          <w:ind w:left="840" w:hanging="420"/>
        </w:pPr>
        <w:rPr>
          <w:rFonts w:hint="eastAsia"/>
        </w:rPr>
      </w:lvl>
    </w:lvlOverride>
    <w:lvlOverride w:ilvl="1">
      <w:lvl w:ilvl="1">
        <w:start w:val="1"/>
        <w:numFmt w:val="decimal"/>
        <w:lvlText w:val="%2"/>
        <w:lvlJc w:val="left"/>
        <w:pPr>
          <w:ind w:left="840" w:hanging="420"/>
        </w:pPr>
        <w:rPr>
          <w:rFonts w:ascii="宋体" w:eastAsia="宋体" w:hAnsi="宋体" w:hint="eastAsia"/>
          <w:b/>
          <w:color w:val="auto"/>
        </w:rPr>
      </w:lvl>
    </w:lvlOverride>
    <w:lvlOverride w:ilvl="2">
      <w:lvl w:ilvl="2">
        <w:start w:val="1"/>
        <w:numFmt w:val="lowerRoman"/>
        <w:lvlText w:val="%3."/>
        <w:lvlJc w:val="righ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lowerLetter"/>
        <w:lvlText w:val="%5)"/>
        <w:lvlJc w:val="left"/>
        <w:pPr>
          <w:ind w:left="2100" w:hanging="420"/>
        </w:pPr>
        <w:rPr>
          <w:rFonts w:hint="eastAsia"/>
        </w:rPr>
      </w:lvl>
    </w:lvlOverride>
    <w:lvlOverride w:ilvl="5">
      <w:lvl w:ilvl="5">
        <w:start w:val="1"/>
        <w:numFmt w:val="lowerRoman"/>
        <w:lvlText w:val="%6."/>
        <w:lvlJc w:val="righ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lowerLetter"/>
        <w:lvlText w:val="%8)"/>
        <w:lvlJc w:val="left"/>
        <w:pPr>
          <w:ind w:left="3360" w:hanging="420"/>
        </w:pPr>
        <w:rPr>
          <w:rFonts w:hint="eastAsia"/>
        </w:rPr>
      </w:lvl>
    </w:lvlOverride>
    <w:lvlOverride w:ilvl="8">
      <w:lvl w:ilvl="8">
        <w:start w:val="1"/>
        <w:numFmt w:val="lowerRoman"/>
        <w:lvlText w:val="%9."/>
        <w:lvlJc w:val="right"/>
        <w:pPr>
          <w:ind w:left="3780" w:hanging="420"/>
        </w:pPr>
        <w:rPr>
          <w:rFonts w:hint="eastAsia"/>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DD256F"/>
    <w:rsid w:val="00002973"/>
    <w:rsid w:val="0000568D"/>
    <w:rsid w:val="00011C95"/>
    <w:rsid w:val="00014DD5"/>
    <w:rsid w:val="00017CF8"/>
    <w:rsid w:val="0002110B"/>
    <w:rsid w:val="00022C3F"/>
    <w:rsid w:val="000254C6"/>
    <w:rsid w:val="0002612F"/>
    <w:rsid w:val="000271B5"/>
    <w:rsid w:val="000317E9"/>
    <w:rsid w:val="00031A88"/>
    <w:rsid w:val="00034983"/>
    <w:rsid w:val="00034FF7"/>
    <w:rsid w:val="00036357"/>
    <w:rsid w:val="000429ED"/>
    <w:rsid w:val="00044398"/>
    <w:rsid w:val="000451ED"/>
    <w:rsid w:val="000461BB"/>
    <w:rsid w:val="00051708"/>
    <w:rsid w:val="00051BE5"/>
    <w:rsid w:val="00052C25"/>
    <w:rsid w:val="00055C3F"/>
    <w:rsid w:val="000569CC"/>
    <w:rsid w:val="00057851"/>
    <w:rsid w:val="00057A41"/>
    <w:rsid w:val="0006013C"/>
    <w:rsid w:val="00060230"/>
    <w:rsid w:val="000612A1"/>
    <w:rsid w:val="00062AA3"/>
    <w:rsid w:val="00063893"/>
    <w:rsid w:val="00065B7B"/>
    <w:rsid w:val="00071950"/>
    <w:rsid w:val="00076117"/>
    <w:rsid w:val="00077EAC"/>
    <w:rsid w:val="00080509"/>
    <w:rsid w:val="00082A1A"/>
    <w:rsid w:val="00084008"/>
    <w:rsid w:val="000841ED"/>
    <w:rsid w:val="00085C01"/>
    <w:rsid w:val="000868AD"/>
    <w:rsid w:val="00090ADC"/>
    <w:rsid w:val="0009141B"/>
    <w:rsid w:val="00091DDA"/>
    <w:rsid w:val="0009228C"/>
    <w:rsid w:val="00092E64"/>
    <w:rsid w:val="000955B9"/>
    <w:rsid w:val="00096AC8"/>
    <w:rsid w:val="0009799B"/>
    <w:rsid w:val="000A104B"/>
    <w:rsid w:val="000A4309"/>
    <w:rsid w:val="000B14EF"/>
    <w:rsid w:val="000B56BC"/>
    <w:rsid w:val="000B5F96"/>
    <w:rsid w:val="000B78AC"/>
    <w:rsid w:val="000C0519"/>
    <w:rsid w:val="000C3C1E"/>
    <w:rsid w:val="000C4612"/>
    <w:rsid w:val="000C4C03"/>
    <w:rsid w:val="000C5B78"/>
    <w:rsid w:val="000C698C"/>
    <w:rsid w:val="000C6DAE"/>
    <w:rsid w:val="000C7C71"/>
    <w:rsid w:val="000D3B07"/>
    <w:rsid w:val="000D7213"/>
    <w:rsid w:val="000D7307"/>
    <w:rsid w:val="000D7A97"/>
    <w:rsid w:val="000D7D0B"/>
    <w:rsid w:val="000E0E15"/>
    <w:rsid w:val="000E518E"/>
    <w:rsid w:val="000E6005"/>
    <w:rsid w:val="000E7C1C"/>
    <w:rsid w:val="000E7F4A"/>
    <w:rsid w:val="000F192B"/>
    <w:rsid w:val="0010092D"/>
    <w:rsid w:val="00101D94"/>
    <w:rsid w:val="001026CF"/>
    <w:rsid w:val="00103439"/>
    <w:rsid w:val="001053C3"/>
    <w:rsid w:val="00105C16"/>
    <w:rsid w:val="00106C83"/>
    <w:rsid w:val="00111ADB"/>
    <w:rsid w:val="00111E23"/>
    <w:rsid w:val="001165AE"/>
    <w:rsid w:val="00116D81"/>
    <w:rsid w:val="00117960"/>
    <w:rsid w:val="001208DD"/>
    <w:rsid w:val="00120FFA"/>
    <w:rsid w:val="0012160B"/>
    <w:rsid w:val="00123F0A"/>
    <w:rsid w:val="001248A6"/>
    <w:rsid w:val="00126CBD"/>
    <w:rsid w:val="00127157"/>
    <w:rsid w:val="001304AD"/>
    <w:rsid w:val="00133739"/>
    <w:rsid w:val="00134553"/>
    <w:rsid w:val="00134FF0"/>
    <w:rsid w:val="00135853"/>
    <w:rsid w:val="00136A9A"/>
    <w:rsid w:val="00142014"/>
    <w:rsid w:val="00142CB0"/>
    <w:rsid w:val="00143F2D"/>
    <w:rsid w:val="00146CA5"/>
    <w:rsid w:val="001519E8"/>
    <w:rsid w:val="00152EC5"/>
    <w:rsid w:val="001543D4"/>
    <w:rsid w:val="0015450F"/>
    <w:rsid w:val="0015523D"/>
    <w:rsid w:val="001575B8"/>
    <w:rsid w:val="00161CAF"/>
    <w:rsid w:val="00162139"/>
    <w:rsid w:val="00162669"/>
    <w:rsid w:val="0016496D"/>
    <w:rsid w:val="00174686"/>
    <w:rsid w:val="001816A6"/>
    <w:rsid w:val="00186C23"/>
    <w:rsid w:val="00190753"/>
    <w:rsid w:val="0019126B"/>
    <w:rsid w:val="00191BFF"/>
    <w:rsid w:val="00192CCC"/>
    <w:rsid w:val="00192D64"/>
    <w:rsid w:val="00192FFF"/>
    <w:rsid w:val="001935E1"/>
    <w:rsid w:val="00194F95"/>
    <w:rsid w:val="00195DFE"/>
    <w:rsid w:val="001A1D27"/>
    <w:rsid w:val="001A37C6"/>
    <w:rsid w:val="001A582E"/>
    <w:rsid w:val="001A6342"/>
    <w:rsid w:val="001A652B"/>
    <w:rsid w:val="001B0B8E"/>
    <w:rsid w:val="001B2BA8"/>
    <w:rsid w:val="001B438C"/>
    <w:rsid w:val="001B4AD8"/>
    <w:rsid w:val="001D19A9"/>
    <w:rsid w:val="001D2C3C"/>
    <w:rsid w:val="001D7DDF"/>
    <w:rsid w:val="001E00D9"/>
    <w:rsid w:val="001E18AC"/>
    <w:rsid w:val="001E510D"/>
    <w:rsid w:val="001E55CD"/>
    <w:rsid w:val="001E5F29"/>
    <w:rsid w:val="001E70D4"/>
    <w:rsid w:val="001F019F"/>
    <w:rsid w:val="001F07B9"/>
    <w:rsid w:val="001F11C9"/>
    <w:rsid w:val="001F30EE"/>
    <w:rsid w:val="001F33A0"/>
    <w:rsid w:val="001F3BF1"/>
    <w:rsid w:val="001F3C0E"/>
    <w:rsid w:val="001F453B"/>
    <w:rsid w:val="0020136B"/>
    <w:rsid w:val="0020353C"/>
    <w:rsid w:val="00205758"/>
    <w:rsid w:val="00205C40"/>
    <w:rsid w:val="00207D36"/>
    <w:rsid w:val="00210D79"/>
    <w:rsid w:val="002125FF"/>
    <w:rsid w:val="00213330"/>
    <w:rsid w:val="002148A9"/>
    <w:rsid w:val="0021603C"/>
    <w:rsid w:val="00216604"/>
    <w:rsid w:val="002202B4"/>
    <w:rsid w:val="00220E16"/>
    <w:rsid w:val="00220E1F"/>
    <w:rsid w:val="0022224C"/>
    <w:rsid w:val="00222350"/>
    <w:rsid w:val="00225079"/>
    <w:rsid w:val="002266FB"/>
    <w:rsid w:val="00230827"/>
    <w:rsid w:val="002329B1"/>
    <w:rsid w:val="0023599E"/>
    <w:rsid w:val="00241B2E"/>
    <w:rsid w:val="002434A7"/>
    <w:rsid w:val="00243E6E"/>
    <w:rsid w:val="00245567"/>
    <w:rsid w:val="00251048"/>
    <w:rsid w:val="0025183D"/>
    <w:rsid w:val="0025354A"/>
    <w:rsid w:val="002536AC"/>
    <w:rsid w:val="00255F17"/>
    <w:rsid w:val="00260266"/>
    <w:rsid w:val="00261101"/>
    <w:rsid w:val="0026118D"/>
    <w:rsid w:val="002623D2"/>
    <w:rsid w:val="00264752"/>
    <w:rsid w:val="00266C1D"/>
    <w:rsid w:val="00267FCC"/>
    <w:rsid w:val="00274349"/>
    <w:rsid w:val="002769EA"/>
    <w:rsid w:val="00280288"/>
    <w:rsid w:val="0028258F"/>
    <w:rsid w:val="00284222"/>
    <w:rsid w:val="0028465C"/>
    <w:rsid w:val="00284A21"/>
    <w:rsid w:val="002851FB"/>
    <w:rsid w:val="00286B4B"/>
    <w:rsid w:val="002956C2"/>
    <w:rsid w:val="002A150F"/>
    <w:rsid w:val="002A2C89"/>
    <w:rsid w:val="002A2D73"/>
    <w:rsid w:val="002A3EC6"/>
    <w:rsid w:val="002A4F95"/>
    <w:rsid w:val="002B32FC"/>
    <w:rsid w:val="002B3A99"/>
    <w:rsid w:val="002B5024"/>
    <w:rsid w:val="002B7948"/>
    <w:rsid w:val="002C0375"/>
    <w:rsid w:val="002C1524"/>
    <w:rsid w:val="002C2C31"/>
    <w:rsid w:val="002C30A7"/>
    <w:rsid w:val="002C522F"/>
    <w:rsid w:val="002C62A6"/>
    <w:rsid w:val="002C6F73"/>
    <w:rsid w:val="002C7F97"/>
    <w:rsid w:val="002D11A3"/>
    <w:rsid w:val="002D16DB"/>
    <w:rsid w:val="002D2F34"/>
    <w:rsid w:val="002D4803"/>
    <w:rsid w:val="002E0263"/>
    <w:rsid w:val="002E06BD"/>
    <w:rsid w:val="002E149C"/>
    <w:rsid w:val="002E5C33"/>
    <w:rsid w:val="002E6ABC"/>
    <w:rsid w:val="002F0E56"/>
    <w:rsid w:val="002F0F92"/>
    <w:rsid w:val="002F52A7"/>
    <w:rsid w:val="002F560B"/>
    <w:rsid w:val="002F660C"/>
    <w:rsid w:val="003000CA"/>
    <w:rsid w:val="003010F2"/>
    <w:rsid w:val="00303809"/>
    <w:rsid w:val="00305947"/>
    <w:rsid w:val="00305CC3"/>
    <w:rsid w:val="00311B1F"/>
    <w:rsid w:val="00313DEC"/>
    <w:rsid w:val="003155D2"/>
    <w:rsid w:val="0031588D"/>
    <w:rsid w:val="00316E30"/>
    <w:rsid w:val="00317C18"/>
    <w:rsid w:val="00320332"/>
    <w:rsid w:val="00320996"/>
    <w:rsid w:val="003226F3"/>
    <w:rsid w:val="00323C4E"/>
    <w:rsid w:val="00330B40"/>
    <w:rsid w:val="0033515F"/>
    <w:rsid w:val="00335474"/>
    <w:rsid w:val="003363FB"/>
    <w:rsid w:val="00336BE8"/>
    <w:rsid w:val="00340BFC"/>
    <w:rsid w:val="00345754"/>
    <w:rsid w:val="003469F1"/>
    <w:rsid w:val="00346A8C"/>
    <w:rsid w:val="003501F6"/>
    <w:rsid w:val="00351FD4"/>
    <w:rsid w:val="003528AE"/>
    <w:rsid w:val="00353F5A"/>
    <w:rsid w:val="0035403B"/>
    <w:rsid w:val="00355767"/>
    <w:rsid w:val="00360520"/>
    <w:rsid w:val="003617B8"/>
    <w:rsid w:val="003619CD"/>
    <w:rsid w:val="00365E23"/>
    <w:rsid w:val="00366A62"/>
    <w:rsid w:val="00366BFF"/>
    <w:rsid w:val="0036747E"/>
    <w:rsid w:val="00367FA9"/>
    <w:rsid w:val="0037071A"/>
    <w:rsid w:val="0037385B"/>
    <w:rsid w:val="00383470"/>
    <w:rsid w:val="003839AB"/>
    <w:rsid w:val="003861D5"/>
    <w:rsid w:val="00391ABF"/>
    <w:rsid w:val="00392161"/>
    <w:rsid w:val="00395F99"/>
    <w:rsid w:val="0039687E"/>
    <w:rsid w:val="003A063D"/>
    <w:rsid w:val="003A1746"/>
    <w:rsid w:val="003A46E9"/>
    <w:rsid w:val="003B0E83"/>
    <w:rsid w:val="003B0E84"/>
    <w:rsid w:val="003B45C0"/>
    <w:rsid w:val="003B5F93"/>
    <w:rsid w:val="003B769E"/>
    <w:rsid w:val="003C0BEE"/>
    <w:rsid w:val="003C1AD3"/>
    <w:rsid w:val="003C1BE5"/>
    <w:rsid w:val="003C2077"/>
    <w:rsid w:val="003C2E3B"/>
    <w:rsid w:val="003C30BF"/>
    <w:rsid w:val="003C33A6"/>
    <w:rsid w:val="003C59FC"/>
    <w:rsid w:val="003D0AB5"/>
    <w:rsid w:val="003D1340"/>
    <w:rsid w:val="003D1C65"/>
    <w:rsid w:val="003D3799"/>
    <w:rsid w:val="003D583D"/>
    <w:rsid w:val="003D58FC"/>
    <w:rsid w:val="003E0471"/>
    <w:rsid w:val="003E0BC2"/>
    <w:rsid w:val="003E24F8"/>
    <w:rsid w:val="003E3CBD"/>
    <w:rsid w:val="003E3DEE"/>
    <w:rsid w:val="003E7B17"/>
    <w:rsid w:val="003F1776"/>
    <w:rsid w:val="003F4E89"/>
    <w:rsid w:val="003F698E"/>
    <w:rsid w:val="0040554F"/>
    <w:rsid w:val="00405EEC"/>
    <w:rsid w:val="0040653C"/>
    <w:rsid w:val="00406907"/>
    <w:rsid w:val="00406E86"/>
    <w:rsid w:val="00407B05"/>
    <w:rsid w:val="00410CAB"/>
    <w:rsid w:val="00413FC0"/>
    <w:rsid w:val="004145B2"/>
    <w:rsid w:val="00415554"/>
    <w:rsid w:val="00421E3C"/>
    <w:rsid w:val="004228DD"/>
    <w:rsid w:val="004237CA"/>
    <w:rsid w:val="004238BC"/>
    <w:rsid w:val="00425B7D"/>
    <w:rsid w:val="00430F77"/>
    <w:rsid w:val="00432EBC"/>
    <w:rsid w:val="00441B6E"/>
    <w:rsid w:val="00442EB8"/>
    <w:rsid w:val="00442EDC"/>
    <w:rsid w:val="00444AD2"/>
    <w:rsid w:val="00444B4E"/>
    <w:rsid w:val="00444B5E"/>
    <w:rsid w:val="004476C3"/>
    <w:rsid w:val="00447931"/>
    <w:rsid w:val="00447D76"/>
    <w:rsid w:val="00452A0A"/>
    <w:rsid w:val="00453C6A"/>
    <w:rsid w:val="004546AB"/>
    <w:rsid w:val="00455C8B"/>
    <w:rsid w:val="00460901"/>
    <w:rsid w:val="00462650"/>
    <w:rsid w:val="00470727"/>
    <w:rsid w:val="00472192"/>
    <w:rsid w:val="0047229B"/>
    <w:rsid w:val="00472F7C"/>
    <w:rsid w:val="004843F9"/>
    <w:rsid w:val="00486355"/>
    <w:rsid w:val="00486A29"/>
    <w:rsid w:val="00486B85"/>
    <w:rsid w:val="004873DD"/>
    <w:rsid w:val="0048770D"/>
    <w:rsid w:val="00487D34"/>
    <w:rsid w:val="00492036"/>
    <w:rsid w:val="00492045"/>
    <w:rsid w:val="0049241E"/>
    <w:rsid w:val="00492A2E"/>
    <w:rsid w:val="00495B68"/>
    <w:rsid w:val="004960DF"/>
    <w:rsid w:val="00497DEE"/>
    <w:rsid w:val="004A299F"/>
    <w:rsid w:val="004A4F80"/>
    <w:rsid w:val="004B079A"/>
    <w:rsid w:val="004B19D0"/>
    <w:rsid w:val="004B49CD"/>
    <w:rsid w:val="004B4CF8"/>
    <w:rsid w:val="004C0198"/>
    <w:rsid w:val="004C146B"/>
    <w:rsid w:val="004C1D84"/>
    <w:rsid w:val="004C3F82"/>
    <w:rsid w:val="004C5F07"/>
    <w:rsid w:val="004D20A4"/>
    <w:rsid w:val="004D21A7"/>
    <w:rsid w:val="004D2FBE"/>
    <w:rsid w:val="004D4A29"/>
    <w:rsid w:val="004D6606"/>
    <w:rsid w:val="004D73C3"/>
    <w:rsid w:val="004E6016"/>
    <w:rsid w:val="004E6F3B"/>
    <w:rsid w:val="004F0557"/>
    <w:rsid w:val="004F2D90"/>
    <w:rsid w:val="004F42CB"/>
    <w:rsid w:val="004F4CF9"/>
    <w:rsid w:val="004F7901"/>
    <w:rsid w:val="0050076F"/>
    <w:rsid w:val="00503CDD"/>
    <w:rsid w:val="00506F5C"/>
    <w:rsid w:val="00507C75"/>
    <w:rsid w:val="005104A4"/>
    <w:rsid w:val="0051274A"/>
    <w:rsid w:val="005129AB"/>
    <w:rsid w:val="00515988"/>
    <w:rsid w:val="00515DBA"/>
    <w:rsid w:val="005179B0"/>
    <w:rsid w:val="00517E80"/>
    <w:rsid w:val="00520482"/>
    <w:rsid w:val="005215E0"/>
    <w:rsid w:val="00523D5B"/>
    <w:rsid w:val="00523EA3"/>
    <w:rsid w:val="0052506F"/>
    <w:rsid w:val="00525A58"/>
    <w:rsid w:val="00527F62"/>
    <w:rsid w:val="00537615"/>
    <w:rsid w:val="00541825"/>
    <w:rsid w:val="005426BA"/>
    <w:rsid w:val="00544A5D"/>
    <w:rsid w:val="00547AD7"/>
    <w:rsid w:val="00550495"/>
    <w:rsid w:val="00550FDD"/>
    <w:rsid w:val="00552077"/>
    <w:rsid w:val="00552691"/>
    <w:rsid w:val="0055474A"/>
    <w:rsid w:val="00554A09"/>
    <w:rsid w:val="00556983"/>
    <w:rsid w:val="00557851"/>
    <w:rsid w:val="00560FC4"/>
    <w:rsid w:val="005657AD"/>
    <w:rsid w:val="00565FDF"/>
    <w:rsid w:val="00566723"/>
    <w:rsid w:val="00567A71"/>
    <w:rsid w:val="005718DF"/>
    <w:rsid w:val="00573B17"/>
    <w:rsid w:val="005748E7"/>
    <w:rsid w:val="0057630C"/>
    <w:rsid w:val="0057734E"/>
    <w:rsid w:val="005865B8"/>
    <w:rsid w:val="005874FE"/>
    <w:rsid w:val="00587BDA"/>
    <w:rsid w:val="00596609"/>
    <w:rsid w:val="00596DC3"/>
    <w:rsid w:val="00596E5F"/>
    <w:rsid w:val="00597B18"/>
    <w:rsid w:val="005A04B3"/>
    <w:rsid w:val="005A22E4"/>
    <w:rsid w:val="005A2DF6"/>
    <w:rsid w:val="005A3E3B"/>
    <w:rsid w:val="005A4BCE"/>
    <w:rsid w:val="005A53D6"/>
    <w:rsid w:val="005A558F"/>
    <w:rsid w:val="005B2906"/>
    <w:rsid w:val="005B338D"/>
    <w:rsid w:val="005B4B05"/>
    <w:rsid w:val="005B77E1"/>
    <w:rsid w:val="005C254C"/>
    <w:rsid w:val="005C2B04"/>
    <w:rsid w:val="005C33FC"/>
    <w:rsid w:val="005C566B"/>
    <w:rsid w:val="005D7BD2"/>
    <w:rsid w:val="005E35CB"/>
    <w:rsid w:val="005E5591"/>
    <w:rsid w:val="005E5653"/>
    <w:rsid w:val="005F1919"/>
    <w:rsid w:val="005F5AD2"/>
    <w:rsid w:val="005F783A"/>
    <w:rsid w:val="006005CA"/>
    <w:rsid w:val="00601A8A"/>
    <w:rsid w:val="00603DCC"/>
    <w:rsid w:val="00607193"/>
    <w:rsid w:val="006122DF"/>
    <w:rsid w:val="006125A9"/>
    <w:rsid w:val="00613663"/>
    <w:rsid w:val="00614245"/>
    <w:rsid w:val="00615D66"/>
    <w:rsid w:val="00616875"/>
    <w:rsid w:val="0061787B"/>
    <w:rsid w:val="00620496"/>
    <w:rsid w:val="006208F8"/>
    <w:rsid w:val="00620E9D"/>
    <w:rsid w:val="00621156"/>
    <w:rsid w:val="0062248D"/>
    <w:rsid w:val="00623C25"/>
    <w:rsid w:val="00624B7B"/>
    <w:rsid w:val="00625EE6"/>
    <w:rsid w:val="00626E28"/>
    <w:rsid w:val="00626E78"/>
    <w:rsid w:val="00627E1A"/>
    <w:rsid w:val="006315D7"/>
    <w:rsid w:val="006334CB"/>
    <w:rsid w:val="00637509"/>
    <w:rsid w:val="006378A7"/>
    <w:rsid w:val="006404D3"/>
    <w:rsid w:val="006424A0"/>
    <w:rsid w:val="00642693"/>
    <w:rsid w:val="00643180"/>
    <w:rsid w:val="006466BA"/>
    <w:rsid w:val="00650BD9"/>
    <w:rsid w:val="00651B15"/>
    <w:rsid w:val="00652944"/>
    <w:rsid w:val="00660BFA"/>
    <w:rsid w:val="00660DA2"/>
    <w:rsid w:val="006659AB"/>
    <w:rsid w:val="006672F9"/>
    <w:rsid w:val="0067038F"/>
    <w:rsid w:val="006712F9"/>
    <w:rsid w:val="00672F15"/>
    <w:rsid w:val="006738EC"/>
    <w:rsid w:val="0067525C"/>
    <w:rsid w:val="00676D09"/>
    <w:rsid w:val="0067704A"/>
    <w:rsid w:val="0067705D"/>
    <w:rsid w:val="006772D2"/>
    <w:rsid w:val="00677775"/>
    <w:rsid w:val="00680102"/>
    <w:rsid w:val="00680CEF"/>
    <w:rsid w:val="0068143C"/>
    <w:rsid w:val="006817E5"/>
    <w:rsid w:val="006855EA"/>
    <w:rsid w:val="00690310"/>
    <w:rsid w:val="00691ABA"/>
    <w:rsid w:val="00691E79"/>
    <w:rsid w:val="00692738"/>
    <w:rsid w:val="006935E5"/>
    <w:rsid w:val="00694818"/>
    <w:rsid w:val="006A092C"/>
    <w:rsid w:val="006A0F0F"/>
    <w:rsid w:val="006A20A2"/>
    <w:rsid w:val="006A7EE1"/>
    <w:rsid w:val="006B00D5"/>
    <w:rsid w:val="006B089B"/>
    <w:rsid w:val="006B1392"/>
    <w:rsid w:val="006B49F1"/>
    <w:rsid w:val="006B5E07"/>
    <w:rsid w:val="006B7896"/>
    <w:rsid w:val="006B7EEC"/>
    <w:rsid w:val="006C0A08"/>
    <w:rsid w:val="006C247C"/>
    <w:rsid w:val="006C7F94"/>
    <w:rsid w:val="006D0F26"/>
    <w:rsid w:val="006D20D6"/>
    <w:rsid w:val="006D2624"/>
    <w:rsid w:val="006D6274"/>
    <w:rsid w:val="006D66B4"/>
    <w:rsid w:val="006D79B6"/>
    <w:rsid w:val="006E00CA"/>
    <w:rsid w:val="006E0F8D"/>
    <w:rsid w:val="006E213E"/>
    <w:rsid w:val="006E27A2"/>
    <w:rsid w:val="006E301B"/>
    <w:rsid w:val="006E41B9"/>
    <w:rsid w:val="006E4FDF"/>
    <w:rsid w:val="006E55DF"/>
    <w:rsid w:val="006F1B12"/>
    <w:rsid w:val="006F2738"/>
    <w:rsid w:val="006F2B76"/>
    <w:rsid w:val="006F3874"/>
    <w:rsid w:val="006F3AB3"/>
    <w:rsid w:val="006F42DC"/>
    <w:rsid w:val="00706019"/>
    <w:rsid w:val="00707972"/>
    <w:rsid w:val="00713167"/>
    <w:rsid w:val="00713270"/>
    <w:rsid w:val="00714093"/>
    <w:rsid w:val="0071791A"/>
    <w:rsid w:val="00722EB4"/>
    <w:rsid w:val="00725495"/>
    <w:rsid w:val="00725F84"/>
    <w:rsid w:val="00727FD5"/>
    <w:rsid w:val="0073144D"/>
    <w:rsid w:val="00731D98"/>
    <w:rsid w:val="00733263"/>
    <w:rsid w:val="00734518"/>
    <w:rsid w:val="0073497F"/>
    <w:rsid w:val="00735F71"/>
    <w:rsid w:val="007360BF"/>
    <w:rsid w:val="0074155B"/>
    <w:rsid w:val="007415E4"/>
    <w:rsid w:val="00741B84"/>
    <w:rsid w:val="00742419"/>
    <w:rsid w:val="00745EDA"/>
    <w:rsid w:val="007517B7"/>
    <w:rsid w:val="00752421"/>
    <w:rsid w:val="007546EF"/>
    <w:rsid w:val="00754EEA"/>
    <w:rsid w:val="007559F3"/>
    <w:rsid w:val="00755D74"/>
    <w:rsid w:val="007670FC"/>
    <w:rsid w:val="00774BCA"/>
    <w:rsid w:val="00775B81"/>
    <w:rsid w:val="00776EE9"/>
    <w:rsid w:val="007800A6"/>
    <w:rsid w:val="00780DD2"/>
    <w:rsid w:val="0078103E"/>
    <w:rsid w:val="0078585D"/>
    <w:rsid w:val="007909A2"/>
    <w:rsid w:val="00792D43"/>
    <w:rsid w:val="007950E3"/>
    <w:rsid w:val="007969A7"/>
    <w:rsid w:val="00796AA4"/>
    <w:rsid w:val="007A0EE0"/>
    <w:rsid w:val="007A1619"/>
    <w:rsid w:val="007A2FFD"/>
    <w:rsid w:val="007A4A73"/>
    <w:rsid w:val="007A6050"/>
    <w:rsid w:val="007A721A"/>
    <w:rsid w:val="007B038A"/>
    <w:rsid w:val="007B3A96"/>
    <w:rsid w:val="007B4685"/>
    <w:rsid w:val="007B5A6D"/>
    <w:rsid w:val="007B5BBD"/>
    <w:rsid w:val="007B6B93"/>
    <w:rsid w:val="007B6F05"/>
    <w:rsid w:val="007B70D1"/>
    <w:rsid w:val="007B7A0F"/>
    <w:rsid w:val="007C026E"/>
    <w:rsid w:val="007C28B1"/>
    <w:rsid w:val="007C483E"/>
    <w:rsid w:val="007C4CF9"/>
    <w:rsid w:val="007C55B9"/>
    <w:rsid w:val="007C58AF"/>
    <w:rsid w:val="007C6D13"/>
    <w:rsid w:val="007C7F91"/>
    <w:rsid w:val="007D29F7"/>
    <w:rsid w:val="007D2B14"/>
    <w:rsid w:val="007D4161"/>
    <w:rsid w:val="007D429E"/>
    <w:rsid w:val="007D4436"/>
    <w:rsid w:val="007D459B"/>
    <w:rsid w:val="007E08DF"/>
    <w:rsid w:val="007E31A2"/>
    <w:rsid w:val="007E75A7"/>
    <w:rsid w:val="007F0B5C"/>
    <w:rsid w:val="007F211A"/>
    <w:rsid w:val="007F3BE7"/>
    <w:rsid w:val="007F7532"/>
    <w:rsid w:val="0080014B"/>
    <w:rsid w:val="008015CF"/>
    <w:rsid w:val="00803BA0"/>
    <w:rsid w:val="00804C78"/>
    <w:rsid w:val="00805FEE"/>
    <w:rsid w:val="00806D66"/>
    <w:rsid w:val="00807A1B"/>
    <w:rsid w:val="00811615"/>
    <w:rsid w:val="00812148"/>
    <w:rsid w:val="00815348"/>
    <w:rsid w:val="008206FE"/>
    <w:rsid w:val="00825C3E"/>
    <w:rsid w:val="00825FD4"/>
    <w:rsid w:val="00830C53"/>
    <w:rsid w:val="00832C15"/>
    <w:rsid w:val="00833295"/>
    <w:rsid w:val="00835473"/>
    <w:rsid w:val="00835B01"/>
    <w:rsid w:val="00836551"/>
    <w:rsid w:val="0083791E"/>
    <w:rsid w:val="0084094A"/>
    <w:rsid w:val="008469E2"/>
    <w:rsid w:val="00857272"/>
    <w:rsid w:val="00857667"/>
    <w:rsid w:val="008602D5"/>
    <w:rsid w:val="008617A3"/>
    <w:rsid w:val="00862FC7"/>
    <w:rsid w:val="00863A21"/>
    <w:rsid w:val="00864A63"/>
    <w:rsid w:val="00865284"/>
    <w:rsid w:val="00871CED"/>
    <w:rsid w:val="0087221C"/>
    <w:rsid w:val="00872F59"/>
    <w:rsid w:val="0087404B"/>
    <w:rsid w:val="00874D73"/>
    <w:rsid w:val="008772F2"/>
    <w:rsid w:val="008815AA"/>
    <w:rsid w:val="00883F65"/>
    <w:rsid w:val="00884FAA"/>
    <w:rsid w:val="008861A9"/>
    <w:rsid w:val="00886DC6"/>
    <w:rsid w:val="00891EEF"/>
    <w:rsid w:val="00893B79"/>
    <w:rsid w:val="00894231"/>
    <w:rsid w:val="0089756F"/>
    <w:rsid w:val="008A29B4"/>
    <w:rsid w:val="008A3D5E"/>
    <w:rsid w:val="008B0A6D"/>
    <w:rsid w:val="008B3407"/>
    <w:rsid w:val="008B47F0"/>
    <w:rsid w:val="008B5078"/>
    <w:rsid w:val="008B6B08"/>
    <w:rsid w:val="008B6FE8"/>
    <w:rsid w:val="008C7016"/>
    <w:rsid w:val="008C7537"/>
    <w:rsid w:val="008D492F"/>
    <w:rsid w:val="008D6B67"/>
    <w:rsid w:val="008D6DBE"/>
    <w:rsid w:val="008E1C2A"/>
    <w:rsid w:val="008E66C1"/>
    <w:rsid w:val="008E755F"/>
    <w:rsid w:val="008E7C30"/>
    <w:rsid w:val="008F054E"/>
    <w:rsid w:val="008F0EC6"/>
    <w:rsid w:val="008F26A5"/>
    <w:rsid w:val="008F282A"/>
    <w:rsid w:val="008F3B8B"/>
    <w:rsid w:val="008F3F49"/>
    <w:rsid w:val="008F51B6"/>
    <w:rsid w:val="008F534F"/>
    <w:rsid w:val="008F7547"/>
    <w:rsid w:val="00902500"/>
    <w:rsid w:val="00906A9A"/>
    <w:rsid w:val="009109CA"/>
    <w:rsid w:val="00911195"/>
    <w:rsid w:val="00911B37"/>
    <w:rsid w:val="009137CD"/>
    <w:rsid w:val="0091486E"/>
    <w:rsid w:val="00915AAF"/>
    <w:rsid w:val="00917925"/>
    <w:rsid w:val="009219E6"/>
    <w:rsid w:val="0092380B"/>
    <w:rsid w:val="00926BFA"/>
    <w:rsid w:val="00927853"/>
    <w:rsid w:val="0092797D"/>
    <w:rsid w:val="00931519"/>
    <w:rsid w:val="00931804"/>
    <w:rsid w:val="00931889"/>
    <w:rsid w:val="00932E75"/>
    <w:rsid w:val="0093552B"/>
    <w:rsid w:val="00941E4B"/>
    <w:rsid w:val="0094565C"/>
    <w:rsid w:val="0094731A"/>
    <w:rsid w:val="009500CC"/>
    <w:rsid w:val="00950823"/>
    <w:rsid w:val="00950F0F"/>
    <w:rsid w:val="009518F2"/>
    <w:rsid w:val="0095257C"/>
    <w:rsid w:val="00952CCE"/>
    <w:rsid w:val="0095465E"/>
    <w:rsid w:val="0095490A"/>
    <w:rsid w:val="009554C1"/>
    <w:rsid w:val="009560B3"/>
    <w:rsid w:val="009575C4"/>
    <w:rsid w:val="00957734"/>
    <w:rsid w:val="0096133B"/>
    <w:rsid w:val="009725CE"/>
    <w:rsid w:val="009804DC"/>
    <w:rsid w:val="00983300"/>
    <w:rsid w:val="009834C6"/>
    <w:rsid w:val="00984D06"/>
    <w:rsid w:val="00985375"/>
    <w:rsid w:val="0098699F"/>
    <w:rsid w:val="00987925"/>
    <w:rsid w:val="00992CCF"/>
    <w:rsid w:val="00994286"/>
    <w:rsid w:val="009945AF"/>
    <w:rsid w:val="00995692"/>
    <w:rsid w:val="009A03E0"/>
    <w:rsid w:val="009A1E00"/>
    <w:rsid w:val="009A4150"/>
    <w:rsid w:val="009A5751"/>
    <w:rsid w:val="009A5E2D"/>
    <w:rsid w:val="009A64EB"/>
    <w:rsid w:val="009A67AF"/>
    <w:rsid w:val="009B4B40"/>
    <w:rsid w:val="009B5B17"/>
    <w:rsid w:val="009B70CF"/>
    <w:rsid w:val="009B7893"/>
    <w:rsid w:val="009C083D"/>
    <w:rsid w:val="009C08E8"/>
    <w:rsid w:val="009C206A"/>
    <w:rsid w:val="009C2CF3"/>
    <w:rsid w:val="009C3666"/>
    <w:rsid w:val="009C39C1"/>
    <w:rsid w:val="009C4A1C"/>
    <w:rsid w:val="009C589B"/>
    <w:rsid w:val="009C5BFC"/>
    <w:rsid w:val="009D107D"/>
    <w:rsid w:val="009D1A1E"/>
    <w:rsid w:val="009D3AC9"/>
    <w:rsid w:val="009D3B21"/>
    <w:rsid w:val="009D3D65"/>
    <w:rsid w:val="009D457B"/>
    <w:rsid w:val="009D498A"/>
    <w:rsid w:val="009D79EC"/>
    <w:rsid w:val="009E06DB"/>
    <w:rsid w:val="009E0BDC"/>
    <w:rsid w:val="009E1DC4"/>
    <w:rsid w:val="009E1DFA"/>
    <w:rsid w:val="009E2088"/>
    <w:rsid w:val="009E39CE"/>
    <w:rsid w:val="009E6991"/>
    <w:rsid w:val="009E766E"/>
    <w:rsid w:val="009E7D1A"/>
    <w:rsid w:val="009F0076"/>
    <w:rsid w:val="009F143D"/>
    <w:rsid w:val="009F50A5"/>
    <w:rsid w:val="009F5AC0"/>
    <w:rsid w:val="00A02524"/>
    <w:rsid w:val="00A0312C"/>
    <w:rsid w:val="00A031D5"/>
    <w:rsid w:val="00A063A0"/>
    <w:rsid w:val="00A11BB0"/>
    <w:rsid w:val="00A15FD9"/>
    <w:rsid w:val="00A17200"/>
    <w:rsid w:val="00A2037E"/>
    <w:rsid w:val="00A20B90"/>
    <w:rsid w:val="00A20BB9"/>
    <w:rsid w:val="00A210A0"/>
    <w:rsid w:val="00A210D8"/>
    <w:rsid w:val="00A2113E"/>
    <w:rsid w:val="00A227F0"/>
    <w:rsid w:val="00A228DC"/>
    <w:rsid w:val="00A238A8"/>
    <w:rsid w:val="00A25A59"/>
    <w:rsid w:val="00A25D37"/>
    <w:rsid w:val="00A27241"/>
    <w:rsid w:val="00A3295B"/>
    <w:rsid w:val="00A3327B"/>
    <w:rsid w:val="00A33D39"/>
    <w:rsid w:val="00A3678C"/>
    <w:rsid w:val="00A376E6"/>
    <w:rsid w:val="00A41492"/>
    <w:rsid w:val="00A42132"/>
    <w:rsid w:val="00A4225C"/>
    <w:rsid w:val="00A4338D"/>
    <w:rsid w:val="00A439D0"/>
    <w:rsid w:val="00A441EA"/>
    <w:rsid w:val="00A44A6D"/>
    <w:rsid w:val="00A47FAF"/>
    <w:rsid w:val="00A50686"/>
    <w:rsid w:val="00A51201"/>
    <w:rsid w:val="00A51441"/>
    <w:rsid w:val="00A53424"/>
    <w:rsid w:val="00A53819"/>
    <w:rsid w:val="00A54947"/>
    <w:rsid w:val="00A55981"/>
    <w:rsid w:val="00A55FD3"/>
    <w:rsid w:val="00A6012E"/>
    <w:rsid w:val="00A61BE8"/>
    <w:rsid w:val="00A6386C"/>
    <w:rsid w:val="00A638B5"/>
    <w:rsid w:val="00A6520F"/>
    <w:rsid w:val="00A66B36"/>
    <w:rsid w:val="00A70657"/>
    <w:rsid w:val="00A70BF9"/>
    <w:rsid w:val="00A71E2E"/>
    <w:rsid w:val="00A8247C"/>
    <w:rsid w:val="00A8254C"/>
    <w:rsid w:val="00A83744"/>
    <w:rsid w:val="00A853A3"/>
    <w:rsid w:val="00A863E0"/>
    <w:rsid w:val="00A86682"/>
    <w:rsid w:val="00A87751"/>
    <w:rsid w:val="00A90551"/>
    <w:rsid w:val="00A90B23"/>
    <w:rsid w:val="00A9196A"/>
    <w:rsid w:val="00A92EA6"/>
    <w:rsid w:val="00A94231"/>
    <w:rsid w:val="00A9478B"/>
    <w:rsid w:val="00A9617A"/>
    <w:rsid w:val="00A9666A"/>
    <w:rsid w:val="00AA0268"/>
    <w:rsid w:val="00AA1809"/>
    <w:rsid w:val="00AA309C"/>
    <w:rsid w:val="00AA4899"/>
    <w:rsid w:val="00AA6E64"/>
    <w:rsid w:val="00AB0569"/>
    <w:rsid w:val="00AB13A9"/>
    <w:rsid w:val="00AB4DB4"/>
    <w:rsid w:val="00AB723E"/>
    <w:rsid w:val="00AB7884"/>
    <w:rsid w:val="00AC0218"/>
    <w:rsid w:val="00AC4C7A"/>
    <w:rsid w:val="00AD055C"/>
    <w:rsid w:val="00AD2C41"/>
    <w:rsid w:val="00AD7256"/>
    <w:rsid w:val="00AE0A60"/>
    <w:rsid w:val="00AE347B"/>
    <w:rsid w:val="00AE4F58"/>
    <w:rsid w:val="00AE5C96"/>
    <w:rsid w:val="00AE703D"/>
    <w:rsid w:val="00AF041E"/>
    <w:rsid w:val="00AF1131"/>
    <w:rsid w:val="00AF2CAB"/>
    <w:rsid w:val="00AF554E"/>
    <w:rsid w:val="00AF5A12"/>
    <w:rsid w:val="00B02822"/>
    <w:rsid w:val="00B05852"/>
    <w:rsid w:val="00B13E87"/>
    <w:rsid w:val="00B22AB7"/>
    <w:rsid w:val="00B22D32"/>
    <w:rsid w:val="00B24D0E"/>
    <w:rsid w:val="00B25612"/>
    <w:rsid w:val="00B2592F"/>
    <w:rsid w:val="00B26FEF"/>
    <w:rsid w:val="00B32A00"/>
    <w:rsid w:val="00B32FF0"/>
    <w:rsid w:val="00B33A9F"/>
    <w:rsid w:val="00B36475"/>
    <w:rsid w:val="00B3721A"/>
    <w:rsid w:val="00B41226"/>
    <w:rsid w:val="00B41B96"/>
    <w:rsid w:val="00B42BC5"/>
    <w:rsid w:val="00B42F6B"/>
    <w:rsid w:val="00B504E4"/>
    <w:rsid w:val="00B5227A"/>
    <w:rsid w:val="00B5274C"/>
    <w:rsid w:val="00B52DDB"/>
    <w:rsid w:val="00B5317B"/>
    <w:rsid w:val="00B54244"/>
    <w:rsid w:val="00B57391"/>
    <w:rsid w:val="00B57791"/>
    <w:rsid w:val="00B602B4"/>
    <w:rsid w:val="00B742B7"/>
    <w:rsid w:val="00B76F38"/>
    <w:rsid w:val="00B775A2"/>
    <w:rsid w:val="00B827A6"/>
    <w:rsid w:val="00B833A5"/>
    <w:rsid w:val="00B83692"/>
    <w:rsid w:val="00B85D54"/>
    <w:rsid w:val="00B874D0"/>
    <w:rsid w:val="00B90A53"/>
    <w:rsid w:val="00B92320"/>
    <w:rsid w:val="00BA1C8A"/>
    <w:rsid w:val="00BA1CFA"/>
    <w:rsid w:val="00BA285D"/>
    <w:rsid w:val="00BA38EE"/>
    <w:rsid w:val="00BA4E66"/>
    <w:rsid w:val="00BA5148"/>
    <w:rsid w:val="00BB2A0F"/>
    <w:rsid w:val="00BB60EC"/>
    <w:rsid w:val="00BC059B"/>
    <w:rsid w:val="00BC1CB9"/>
    <w:rsid w:val="00BC3348"/>
    <w:rsid w:val="00BC349C"/>
    <w:rsid w:val="00BC359A"/>
    <w:rsid w:val="00BC3D7B"/>
    <w:rsid w:val="00BC586C"/>
    <w:rsid w:val="00BC5CD5"/>
    <w:rsid w:val="00BC7D20"/>
    <w:rsid w:val="00BD0831"/>
    <w:rsid w:val="00BD1385"/>
    <w:rsid w:val="00BD5293"/>
    <w:rsid w:val="00BD5EE0"/>
    <w:rsid w:val="00BD6D2D"/>
    <w:rsid w:val="00BD7DE3"/>
    <w:rsid w:val="00BE16A5"/>
    <w:rsid w:val="00BE3687"/>
    <w:rsid w:val="00BE4A74"/>
    <w:rsid w:val="00BF1CCE"/>
    <w:rsid w:val="00BF269B"/>
    <w:rsid w:val="00BF2AB3"/>
    <w:rsid w:val="00BF3340"/>
    <w:rsid w:val="00BF47D6"/>
    <w:rsid w:val="00BF4E96"/>
    <w:rsid w:val="00BF4FF6"/>
    <w:rsid w:val="00BF68B8"/>
    <w:rsid w:val="00BF6BE4"/>
    <w:rsid w:val="00C0165F"/>
    <w:rsid w:val="00C02411"/>
    <w:rsid w:val="00C048BA"/>
    <w:rsid w:val="00C07342"/>
    <w:rsid w:val="00C07AA8"/>
    <w:rsid w:val="00C07C35"/>
    <w:rsid w:val="00C111A1"/>
    <w:rsid w:val="00C122E3"/>
    <w:rsid w:val="00C125F5"/>
    <w:rsid w:val="00C12A50"/>
    <w:rsid w:val="00C163D1"/>
    <w:rsid w:val="00C179E6"/>
    <w:rsid w:val="00C20A73"/>
    <w:rsid w:val="00C22278"/>
    <w:rsid w:val="00C236A3"/>
    <w:rsid w:val="00C258C7"/>
    <w:rsid w:val="00C2724C"/>
    <w:rsid w:val="00C301E9"/>
    <w:rsid w:val="00C30681"/>
    <w:rsid w:val="00C34A6C"/>
    <w:rsid w:val="00C35E80"/>
    <w:rsid w:val="00C363E7"/>
    <w:rsid w:val="00C50C30"/>
    <w:rsid w:val="00C55C44"/>
    <w:rsid w:val="00C575E4"/>
    <w:rsid w:val="00C5763C"/>
    <w:rsid w:val="00C6003D"/>
    <w:rsid w:val="00C61DAC"/>
    <w:rsid w:val="00C6231D"/>
    <w:rsid w:val="00C63BD2"/>
    <w:rsid w:val="00C6508D"/>
    <w:rsid w:val="00C654A3"/>
    <w:rsid w:val="00C65930"/>
    <w:rsid w:val="00C65A98"/>
    <w:rsid w:val="00C7020B"/>
    <w:rsid w:val="00C74FA7"/>
    <w:rsid w:val="00C7519F"/>
    <w:rsid w:val="00C77B1D"/>
    <w:rsid w:val="00C8041C"/>
    <w:rsid w:val="00C829C1"/>
    <w:rsid w:val="00C8516F"/>
    <w:rsid w:val="00C91828"/>
    <w:rsid w:val="00C93444"/>
    <w:rsid w:val="00C93D5B"/>
    <w:rsid w:val="00C93EFA"/>
    <w:rsid w:val="00C94BA7"/>
    <w:rsid w:val="00C954EA"/>
    <w:rsid w:val="00C96DF2"/>
    <w:rsid w:val="00CA011F"/>
    <w:rsid w:val="00CA4D76"/>
    <w:rsid w:val="00CA5FD0"/>
    <w:rsid w:val="00CA77FB"/>
    <w:rsid w:val="00CA7E99"/>
    <w:rsid w:val="00CB038D"/>
    <w:rsid w:val="00CB1A5A"/>
    <w:rsid w:val="00CB1EDC"/>
    <w:rsid w:val="00CB612C"/>
    <w:rsid w:val="00CB68F4"/>
    <w:rsid w:val="00CB7396"/>
    <w:rsid w:val="00CB7D73"/>
    <w:rsid w:val="00CC0B03"/>
    <w:rsid w:val="00CC46AA"/>
    <w:rsid w:val="00CC4A20"/>
    <w:rsid w:val="00CC5665"/>
    <w:rsid w:val="00CC5ECB"/>
    <w:rsid w:val="00CC7B51"/>
    <w:rsid w:val="00CD0740"/>
    <w:rsid w:val="00CD0D77"/>
    <w:rsid w:val="00CD37F4"/>
    <w:rsid w:val="00CE0003"/>
    <w:rsid w:val="00CE6BC0"/>
    <w:rsid w:val="00CF0D8A"/>
    <w:rsid w:val="00CF2AC6"/>
    <w:rsid w:val="00CF5AA9"/>
    <w:rsid w:val="00CF72AD"/>
    <w:rsid w:val="00CF75EC"/>
    <w:rsid w:val="00D02CE3"/>
    <w:rsid w:val="00D03627"/>
    <w:rsid w:val="00D10061"/>
    <w:rsid w:val="00D1272F"/>
    <w:rsid w:val="00D13000"/>
    <w:rsid w:val="00D1300A"/>
    <w:rsid w:val="00D147CD"/>
    <w:rsid w:val="00D24145"/>
    <w:rsid w:val="00D2501F"/>
    <w:rsid w:val="00D27A20"/>
    <w:rsid w:val="00D3296E"/>
    <w:rsid w:val="00D408C2"/>
    <w:rsid w:val="00D413EC"/>
    <w:rsid w:val="00D42BD7"/>
    <w:rsid w:val="00D4421B"/>
    <w:rsid w:val="00D472FC"/>
    <w:rsid w:val="00D50EC9"/>
    <w:rsid w:val="00D511DD"/>
    <w:rsid w:val="00D52AC5"/>
    <w:rsid w:val="00D5354B"/>
    <w:rsid w:val="00D56137"/>
    <w:rsid w:val="00D61583"/>
    <w:rsid w:val="00D63A5E"/>
    <w:rsid w:val="00D64D7A"/>
    <w:rsid w:val="00D64E6F"/>
    <w:rsid w:val="00D654B6"/>
    <w:rsid w:val="00D74352"/>
    <w:rsid w:val="00D74709"/>
    <w:rsid w:val="00D75ABC"/>
    <w:rsid w:val="00D76FBD"/>
    <w:rsid w:val="00D773D6"/>
    <w:rsid w:val="00D80036"/>
    <w:rsid w:val="00D80ECF"/>
    <w:rsid w:val="00D816F2"/>
    <w:rsid w:val="00D82472"/>
    <w:rsid w:val="00D84DCC"/>
    <w:rsid w:val="00D85D8D"/>
    <w:rsid w:val="00D929D4"/>
    <w:rsid w:val="00D966A1"/>
    <w:rsid w:val="00D971BC"/>
    <w:rsid w:val="00DA3183"/>
    <w:rsid w:val="00DA7DAD"/>
    <w:rsid w:val="00DB04A8"/>
    <w:rsid w:val="00DB0851"/>
    <w:rsid w:val="00DB18BB"/>
    <w:rsid w:val="00DB2558"/>
    <w:rsid w:val="00DB2745"/>
    <w:rsid w:val="00DB2762"/>
    <w:rsid w:val="00DB410A"/>
    <w:rsid w:val="00DB444C"/>
    <w:rsid w:val="00DB4505"/>
    <w:rsid w:val="00DB67D5"/>
    <w:rsid w:val="00DC4DE8"/>
    <w:rsid w:val="00DC6786"/>
    <w:rsid w:val="00DC752F"/>
    <w:rsid w:val="00DD0368"/>
    <w:rsid w:val="00DD256F"/>
    <w:rsid w:val="00DD4115"/>
    <w:rsid w:val="00DE2F92"/>
    <w:rsid w:val="00DE3EE9"/>
    <w:rsid w:val="00DE50BF"/>
    <w:rsid w:val="00DE56EA"/>
    <w:rsid w:val="00DE6569"/>
    <w:rsid w:val="00DE6649"/>
    <w:rsid w:val="00DE79BA"/>
    <w:rsid w:val="00DF019D"/>
    <w:rsid w:val="00DF271C"/>
    <w:rsid w:val="00DF2791"/>
    <w:rsid w:val="00DF35B5"/>
    <w:rsid w:val="00DF4E6E"/>
    <w:rsid w:val="00DF583C"/>
    <w:rsid w:val="00DF6660"/>
    <w:rsid w:val="00E01461"/>
    <w:rsid w:val="00E02F4C"/>
    <w:rsid w:val="00E03265"/>
    <w:rsid w:val="00E047AF"/>
    <w:rsid w:val="00E0518A"/>
    <w:rsid w:val="00E0588F"/>
    <w:rsid w:val="00E05CC2"/>
    <w:rsid w:val="00E06777"/>
    <w:rsid w:val="00E07227"/>
    <w:rsid w:val="00E07604"/>
    <w:rsid w:val="00E121A1"/>
    <w:rsid w:val="00E17F53"/>
    <w:rsid w:val="00E243D5"/>
    <w:rsid w:val="00E254BE"/>
    <w:rsid w:val="00E346B9"/>
    <w:rsid w:val="00E34A4A"/>
    <w:rsid w:val="00E3638B"/>
    <w:rsid w:val="00E43CE9"/>
    <w:rsid w:val="00E44EE9"/>
    <w:rsid w:val="00E4756A"/>
    <w:rsid w:val="00E507DB"/>
    <w:rsid w:val="00E50A0E"/>
    <w:rsid w:val="00E50FD6"/>
    <w:rsid w:val="00E512FB"/>
    <w:rsid w:val="00E53DDA"/>
    <w:rsid w:val="00E57595"/>
    <w:rsid w:val="00E5776B"/>
    <w:rsid w:val="00E57B2E"/>
    <w:rsid w:val="00E57EC8"/>
    <w:rsid w:val="00E60CF7"/>
    <w:rsid w:val="00E64F8C"/>
    <w:rsid w:val="00E660DE"/>
    <w:rsid w:val="00E667DD"/>
    <w:rsid w:val="00E67342"/>
    <w:rsid w:val="00E67CE1"/>
    <w:rsid w:val="00E70F7A"/>
    <w:rsid w:val="00E7106F"/>
    <w:rsid w:val="00E74067"/>
    <w:rsid w:val="00E744CC"/>
    <w:rsid w:val="00E74709"/>
    <w:rsid w:val="00E77038"/>
    <w:rsid w:val="00E8072F"/>
    <w:rsid w:val="00E80D20"/>
    <w:rsid w:val="00E81886"/>
    <w:rsid w:val="00E81FC9"/>
    <w:rsid w:val="00E836B2"/>
    <w:rsid w:val="00E83E04"/>
    <w:rsid w:val="00E8469B"/>
    <w:rsid w:val="00E877D7"/>
    <w:rsid w:val="00E879D4"/>
    <w:rsid w:val="00E90493"/>
    <w:rsid w:val="00E90829"/>
    <w:rsid w:val="00E91107"/>
    <w:rsid w:val="00E914E9"/>
    <w:rsid w:val="00E91DEC"/>
    <w:rsid w:val="00E92BC1"/>
    <w:rsid w:val="00E93586"/>
    <w:rsid w:val="00E94BA5"/>
    <w:rsid w:val="00E95408"/>
    <w:rsid w:val="00E95E56"/>
    <w:rsid w:val="00E96351"/>
    <w:rsid w:val="00E9658E"/>
    <w:rsid w:val="00EA0135"/>
    <w:rsid w:val="00EA2123"/>
    <w:rsid w:val="00EA5CF2"/>
    <w:rsid w:val="00EB664C"/>
    <w:rsid w:val="00EC243C"/>
    <w:rsid w:val="00EC25D8"/>
    <w:rsid w:val="00EC2668"/>
    <w:rsid w:val="00EC6474"/>
    <w:rsid w:val="00ED2874"/>
    <w:rsid w:val="00ED4842"/>
    <w:rsid w:val="00ED74A5"/>
    <w:rsid w:val="00ED7511"/>
    <w:rsid w:val="00ED7B96"/>
    <w:rsid w:val="00ED7E9B"/>
    <w:rsid w:val="00EE7C10"/>
    <w:rsid w:val="00EF11D4"/>
    <w:rsid w:val="00EF2624"/>
    <w:rsid w:val="00EF6FB7"/>
    <w:rsid w:val="00F008B6"/>
    <w:rsid w:val="00F0422A"/>
    <w:rsid w:val="00F04AF2"/>
    <w:rsid w:val="00F05928"/>
    <w:rsid w:val="00F05AE4"/>
    <w:rsid w:val="00F06F97"/>
    <w:rsid w:val="00F10D66"/>
    <w:rsid w:val="00F12556"/>
    <w:rsid w:val="00F14A98"/>
    <w:rsid w:val="00F20999"/>
    <w:rsid w:val="00F2354D"/>
    <w:rsid w:val="00F2356E"/>
    <w:rsid w:val="00F308F0"/>
    <w:rsid w:val="00F320D2"/>
    <w:rsid w:val="00F37149"/>
    <w:rsid w:val="00F4077C"/>
    <w:rsid w:val="00F4135C"/>
    <w:rsid w:val="00F43BF4"/>
    <w:rsid w:val="00F440A3"/>
    <w:rsid w:val="00F459E9"/>
    <w:rsid w:val="00F45C32"/>
    <w:rsid w:val="00F4637F"/>
    <w:rsid w:val="00F46726"/>
    <w:rsid w:val="00F508C1"/>
    <w:rsid w:val="00F51F1F"/>
    <w:rsid w:val="00F53DDB"/>
    <w:rsid w:val="00F54AF1"/>
    <w:rsid w:val="00F61E80"/>
    <w:rsid w:val="00F65A93"/>
    <w:rsid w:val="00F722D9"/>
    <w:rsid w:val="00F72D32"/>
    <w:rsid w:val="00F74F5C"/>
    <w:rsid w:val="00F7691F"/>
    <w:rsid w:val="00F77C44"/>
    <w:rsid w:val="00F80670"/>
    <w:rsid w:val="00F838EB"/>
    <w:rsid w:val="00F852BD"/>
    <w:rsid w:val="00F86526"/>
    <w:rsid w:val="00F87073"/>
    <w:rsid w:val="00F874A9"/>
    <w:rsid w:val="00F91A45"/>
    <w:rsid w:val="00F922F5"/>
    <w:rsid w:val="00F95F51"/>
    <w:rsid w:val="00FA04FF"/>
    <w:rsid w:val="00FA106C"/>
    <w:rsid w:val="00FA212F"/>
    <w:rsid w:val="00FA2344"/>
    <w:rsid w:val="00FA498E"/>
    <w:rsid w:val="00FA4E85"/>
    <w:rsid w:val="00FA5A5D"/>
    <w:rsid w:val="00FA71E5"/>
    <w:rsid w:val="00FB2FD5"/>
    <w:rsid w:val="00FB4EF8"/>
    <w:rsid w:val="00FB65F9"/>
    <w:rsid w:val="00FB736D"/>
    <w:rsid w:val="00FC067A"/>
    <w:rsid w:val="00FC099C"/>
    <w:rsid w:val="00FC0EF9"/>
    <w:rsid w:val="00FC3A49"/>
    <w:rsid w:val="00FC4390"/>
    <w:rsid w:val="00FC55FA"/>
    <w:rsid w:val="00FC7193"/>
    <w:rsid w:val="00FC7375"/>
    <w:rsid w:val="00FC7F41"/>
    <w:rsid w:val="00FD04AD"/>
    <w:rsid w:val="00FD3F5B"/>
    <w:rsid w:val="00FD4426"/>
    <w:rsid w:val="00FD7D70"/>
    <w:rsid w:val="00FE0223"/>
    <w:rsid w:val="00FE2B13"/>
    <w:rsid w:val="00FE3AFA"/>
    <w:rsid w:val="00FE4469"/>
    <w:rsid w:val="00FE5D19"/>
    <w:rsid w:val="00FE7F05"/>
    <w:rsid w:val="00FF022D"/>
    <w:rsid w:val="00FF03F3"/>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46484"/>
  <w15:docId w15:val="{8533660E-9881-4630-A28D-2E751A9F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692"/>
    <w:pPr>
      <w:widowControl w:val="0"/>
      <w:jc w:val="both"/>
    </w:pPr>
    <w:rPr>
      <w:sz w:val="21"/>
    </w:rPr>
  </w:style>
  <w:style w:type="paragraph" w:styleId="10">
    <w:name w:val="heading 1"/>
    <w:basedOn w:val="a"/>
    <w:next w:val="a"/>
    <w:link w:val="11"/>
    <w:uiPriority w:val="99"/>
    <w:qFormat/>
    <w:rsid w:val="00C65930"/>
    <w:pPr>
      <w:keepNext/>
      <w:keepLines/>
      <w:spacing w:before="340" w:after="330" w:line="578" w:lineRule="auto"/>
      <w:jc w:val="center"/>
      <w:outlineLvl w:val="0"/>
    </w:pPr>
    <w:rPr>
      <w:rFonts w:eastAsia="黑体"/>
      <w:b/>
      <w:bCs/>
      <w:kern w:val="44"/>
      <w:sz w:val="28"/>
      <w:szCs w:val="44"/>
    </w:rPr>
  </w:style>
  <w:style w:type="paragraph" w:styleId="20">
    <w:name w:val="heading 2"/>
    <w:aliases w:val="标题 2 Char Char Char"/>
    <w:basedOn w:val="a"/>
    <w:next w:val="a"/>
    <w:link w:val="21"/>
    <w:qFormat/>
    <w:rsid w:val="00DD256F"/>
    <w:pPr>
      <w:keepNext/>
      <w:keepLines/>
      <w:spacing w:before="260" w:after="260" w:line="416" w:lineRule="auto"/>
      <w:outlineLvl w:val="1"/>
    </w:pPr>
    <w:rPr>
      <w:rFonts w:ascii="Arial" w:hAnsi="Arial"/>
      <w:b/>
      <w:bCs/>
      <w:szCs w:val="21"/>
    </w:rPr>
  </w:style>
  <w:style w:type="paragraph" w:styleId="30">
    <w:name w:val="heading 3"/>
    <w:basedOn w:val="a"/>
    <w:next w:val="a"/>
    <w:link w:val="31"/>
    <w:uiPriority w:val="9"/>
    <w:qFormat/>
    <w:rsid w:val="00DD256F"/>
    <w:pPr>
      <w:keepNext/>
      <w:keepLines/>
      <w:spacing w:before="260" w:after="260" w:line="416" w:lineRule="auto"/>
      <w:outlineLvl w:val="2"/>
    </w:pPr>
    <w:rPr>
      <w:b/>
      <w:bCs/>
      <w:szCs w:val="32"/>
    </w:rPr>
  </w:style>
  <w:style w:type="paragraph" w:styleId="40">
    <w:name w:val="heading 4"/>
    <w:basedOn w:val="a"/>
    <w:next w:val="a"/>
    <w:link w:val="41"/>
    <w:uiPriority w:val="9"/>
    <w:qFormat/>
    <w:rsid w:val="00DD256F"/>
    <w:pPr>
      <w:keepNext/>
      <w:keepLines/>
      <w:spacing w:before="280" w:after="290" w:line="376" w:lineRule="auto"/>
      <w:outlineLvl w:val="3"/>
    </w:pPr>
    <w:rPr>
      <w:rFonts w:ascii="Cambria" w:hAnsi="Cambria"/>
      <w:b/>
      <w:bCs/>
      <w:szCs w:val="28"/>
    </w:rPr>
  </w:style>
  <w:style w:type="paragraph" w:styleId="50">
    <w:name w:val="heading 5"/>
    <w:basedOn w:val="a"/>
    <w:next w:val="a"/>
    <w:link w:val="51"/>
    <w:uiPriority w:val="9"/>
    <w:qFormat/>
    <w:rsid w:val="00DD256F"/>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C65930"/>
    <w:rPr>
      <w:rFonts w:eastAsia="黑体"/>
      <w:b/>
      <w:bCs/>
      <w:kern w:val="44"/>
      <w:sz w:val="28"/>
      <w:szCs w:val="44"/>
    </w:rPr>
  </w:style>
  <w:style w:type="character" w:customStyle="1" w:styleId="21">
    <w:name w:val="标题 2 字符"/>
    <w:aliases w:val="标题 2 Char Char Char 字符"/>
    <w:basedOn w:val="a0"/>
    <w:link w:val="20"/>
    <w:rsid w:val="00DD256F"/>
    <w:rPr>
      <w:rFonts w:ascii="Arial" w:eastAsia="宋体" w:hAnsi="Arial" w:cs="Times New Roman"/>
      <w:b/>
      <w:bCs/>
      <w:szCs w:val="21"/>
    </w:rPr>
  </w:style>
  <w:style w:type="character" w:customStyle="1" w:styleId="31">
    <w:name w:val="标题 3 字符"/>
    <w:basedOn w:val="a0"/>
    <w:link w:val="30"/>
    <w:uiPriority w:val="9"/>
    <w:rsid w:val="00DD256F"/>
    <w:rPr>
      <w:rFonts w:ascii="Calibri" w:eastAsia="宋体" w:hAnsi="Calibri" w:cs="Times New Roman"/>
      <w:b/>
      <w:bCs/>
      <w:szCs w:val="32"/>
    </w:rPr>
  </w:style>
  <w:style w:type="character" w:customStyle="1" w:styleId="41">
    <w:name w:val="标题 4 字符"/>
    <w:basedOn w:val="a0"/>
    <w:link w:val="40"/>
    <w:uiPriority w:val="9"/>
    <w:rsid w:val="00DD256F"/>
    <w:rPr>
      <w:rFonts w:ascii="Cambria" w:eastAsia="宋体" w:hAnsi="Cambria" w:cs="Times New Roman"/>
      <w:b/>
      <w:bCs/>
      <w:szCs w:val="28"/>
    </w:rPr>
  </w:style>
  <w:style w:type="character" w:customStyle="1" w:styleId="51">
    <w:name w:val="标题 5 字符"/>
    <w:basedOn w:val="a0"/>
    <w:link w:val="50"/>
    <w:uiPriority w:val="9"/>
    <w:rsid w:val="00DD256F"/>
    <w:rPr>
      <w:rFonts w:ascii="Calibri" w:eastAsia="宋体" w:hAnsi="Calibri" w:cs="Times New Roman"/>
      <w:b/>
      <w:bCs/>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2">
    <w:name w:val="toc 1"/>
    <w:basedOn w:val="a"/>
    <w:next w:val="a"/>
    <w:autoRedefine/>
    <w:uiPriority w:val="39"/>
    <w:qFormat/>
    <w:rsid w:val="00DD256F"/>
    <w:rPr>
      <w:szCs w:val="21"/>
    </w:rPr>
  </w:style>
  <w:style w:type="paragraph" w:styleId="22">
    <w:name w:val="toc 2"/>
    <w:basedOn w:val="a"/>
    <w:next w:val="a"/>
    <w:autoRedefine/>
    <w:uiPriority w:val="39"/>
    <w:qFormat/>
    <w:rsid w:val="00DD256F"/>
    <w:pPr>
      <w:ind w:leftChars="200" w:left="420"/>
    </w:pPr>
    <w:rPr>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a6"/>
    <w:uiPriority w:val="99"/>
    <w:qFormat/>
    <w:rsid w:val="00DD256F"/>
    <w:pPr>
      <w:jc w:val="left"/>
    </w:pPr>
    <w:rPr>
      <w:szCs w:val="21"/>
    </w:rPr>
  </w:style>
  <w:style w:type="character" w:customStyle="1" w:styleId="a6">
    <w:name w:val="批注文字 字符"/>
    <w:basedOn w:val="a0"/>
    <w:link w:val="a5"/>
    <w:rsid w:val="00DD256F"/>
    <w:rPr>
      <w:rFonts w:ascii="Times New Roman" w:eastAsia="宋体" w:hAnsi="Times New Roman" w:cs="Times New Roman"/>
      <w:szCs w:val="21"/>
    </w:rPr>
  </w:style>
  <w:style w:type="table" w:styleId="a7">
    <w:name w:val="Table Grid"/>
    <w:basedOn w:val="a1"/>
    <w:uiPriority w:val="59"/>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256F"/>
    <w:rPr>
      <w:sz w:val="18"/>
      <w:szCs w:val="18"/>
    </w:rPr>
  </w:style>
  <w:style w:type="character" w:customStyle="1" w:styleId="a9">
    <w:name w:val="批注框文本 字符"/>
    <w:basedOn w:val="a0"/>
    <w:link w:val="a8"/>
    <w:uiPriority w:val="99"/>
    <w:semiHidden/>
    <w:rsid w:val="00DD256F"/>
    <w:rPr>
      <w:rFonts w:ascii="Calibri" w:eastAsia="宋体" w:hAnsi="Calibri" w:cs="Times New Roman"/>
      <w:sz w:val="18"/>
      <w:szCs w:val="18"/>
    </w:rPr>
  </w:style>
  <w:style w:type="paragraph" w:styleId="aa">
    <w:name w:val="Salutation"/>
    <w:basedOn w:val="a"/>
    <w:next w:val="a"/>
    <w:link w:val="ab"/>
    <w:uiPriority w:val="99"/>
    <w:rsid w:val="00DD256F"/>
    <w:rPr>
      <w:szCs w:val="21"/>
    </w:rPr>
  </w:style>
  <w:style w:type="character" w:customStyle="1" w:styleId="ab">
    <w:name w:val="称呼 字符"/>
    <w:basedOn w:val="a0"/>
    <w:link w:val="aa"/>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widowControl/>
      <w:spacing w:before="100" w:after="100"/>
      <w:jc w:val="right"/>
    </w:pPr>
    <w:rPr>
      <w:rFonts w:ascii="Arial Unicode MS" w:eastAsia="Arial Unicode MS"/>
      <w:sz w:val="18"/>
      <w:szCs w:val="18"/>
    </w:rPr>
  </w:style>
  <w:style w:type="paragraph" w:styleId="ac">
    <w:name w:val="List Paragraph"/>
    <w:basedOn w:val="a"/>
    <w:qFormat/>
    <w:rsid w:val="00DD256F"/>
    <w:pPr>
      <w:ind w:firstLineChars="200" w:firstLine="420"/>
    </w:pPr>
  </w:style>
  <w:style w:type="character" w:customStyle="1" w:styleId="ad">
    <w:name w:val="批注主题 字符"/>
    <w:basedOn w:val="a6"/>
    <w:link w:val="ae"/>
    <w:uiPriority w:val="99"/>
    <w:semiHidden/>
    <w:rsid w:val="00DD256F"/>
    <w:rPr>
      <w:rFonts w:ascii="Calibri" w:eastAsia="宋体" w:hAnsi="Calibri" w:cs="Times New Roman"/>
      <w:b/>
      <w:bCs/>
      <w:szCs w:val="21"/>
    </w:rPr>
  </w:style>
  <w:style w:type="paragraph" w:styleId="ae">
    <w:name w:val="annotation subject"/>
    <w:basedOn w:val="a5"/>
    <w:next w:val="a5"/>
    <w:link w:val="ad"/>
    <w:uiPriority w:val="99"/>
    <w:semiHidden/>
    <w:unhideWhenUsed/>
    <w:rsid w:val="00DD256F"/>
    <w:rPr>
      <w:rFonts w:ascii="Calibri" w:hAnsi="Calibri"/>
      <w:b/>
      <w:bCs/>
      <w:szCs w:val="22"/>
    </w:rPr>
  </w:style>
  <w:style w:type="paragraph" w:styleId="32">
    <w:name w:val="toc 3"/>
    <w:basedOn w:val="a"/>
    <w:next w:val="a"/>
    <w:autoRedefine/>
    <w:uiPriority w:val="39"/>
    <w:unhideWhenUsed/>
    <w:qFormat/>
    <w:rsid w:val="00DD256F"/>
    <w:pPr>
      <w:widowControl/>
      <w:spacing w:after="100" w:line="276" w:lineRule="auto"/>
      <w:ind w:left="440"/>
      <w:jc w:val="left"/>
    </w:pPr>
    <w:rPr>
      <w:sz w:val="22"/>
    </w:rPr>
  </w:style>
  <w:style w:type="paragraph" w:styleId="af">
    <w:name w:val="header"/>
    <w:basedOn w:val="a"/>
    <w:link w:val="af0"/>
    <w:unhideWhenUsed/>
    <w:rsid w:val="00DD256F"/>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rsid w:val="00DD256F"/>
    <w:rPr>
      <w:rFonts w:ascii="Calibri" w:eastAsia="宋体" w:hAnsi="Calibri" w:cs="Times New Roman"/>
      <w:sz w:val="18"/>
      <w:szCs w:val="18"/>
    </w:rPr>
  </w:style>
  <w:style w:type="paragraph" w:styleId="af1">
    <w:name w:val="footer"/>
    <w:basedOn w:val="a"/>
    <w:link w:val="af2"/>
    <w:uiPriority w:val="99"/>
    <w:unhideWhenUsed/>
    <w:rsid w:val="00DD256F"/>
    <w:pPr>
      <w:tabs>
        <w:tab w:val="center" w:pos="4153"/>
        <w:tab w:val="right" w:pos="8306"/>
      </w:tabs>
      <w:snapToGrid w:val="0"/>
      <w:jc w:val="left"/>
    </w:pPr>
    <w:rPr>
      <w:sz w:val="18"/>
      <w:szCs w:val="18"/>
    </w:rPr>
  </w:style>
  <w:style w:type="character" w:customStyle="1" w:styleId="af2">
    <w:name w:val="页脚 字符"/>
    <w:basedOn w:val="a0"/>
    <w:link w:val="af1"/>
    <w:uiPriority w:val="99"/>
    <w:rsid w:val="00DD256F"/>
    <w:rPr>
      <w:rFonts w:ascii="Calibri" w:eastAsia="宋体" w:hAnsi="Calibri" w:cs="Times New Roman"/>
      <w:sz w:val="18"/>
      <w:szCs w:val="18"/>
    </w:rPr>
  </w:style>
  <w:style w:type="paragraph" w:styleId="af3">
    <w:name w:val="Plain Text"/>
    <w:basedOn w:val="a"/>
    <w:link w:val="af4"/>
    <w:rsid w:val="00DD256F"/>
    <w:rPr>
      <w:rFonts w:ascii="宋体" w:hAnsi="Courier New"/>
    </w:rPr>
  </w:style>
  <w:style w:type="character" w:customStyle="1" w:styleId="af4">
    <w:name w:val="纯文本 字符"/>
    <w:basedOn w:val="a0"/>
    <w:link w:val="af3"/>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5">
    <w:name w:val="Body Text"/>
    <w:basedOn w:val="a"/>
    <w:link w:val="af6"/>
    <w:uiPriority w:val="99"/>
    <w:rsid w:val="00DD256F"/>
    <w:pPr>
      <w:spacing w:after="120"/>
    </w:pPr>
    <w:rPr>
      <w:szCs w:val="21"/>
    </w:rPr>
  </w:style>
  <w:style w:type="character" w:customStyle="1" w:styleId="af6">
    <w:name w:val="正文文本 字符"/>
    <w:basedOn w:val="a0"/>
    <w:link w:val="af5"/>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widowControl/>
      <w:tabs>
        <w:tab w:val="left" w:pos="709"/>
      </w:tabs>
      <w:overflowPunct w:val="0"/>
      <w:autoSpaceDE w:val="0"/>
      <w:autoSpaceDN w:val="0"/>
      <w:adjustRightInd w:val="0"/>
      <w:textAlignment w:val="baseline"/>
    </w:pPr>
    <w:rPr>
      <w:rFonts w:ascii="Helvetica-Narrow" w:hAnsi="Helvetica-Narrow"/>
      <w:sz w:val="24"/>
      <w:szCs w:val="24"/>
      <w:lang w:val="en-AU"/>
    </w:rPr>
  </w:style>
  <w:style w:type="paragraph" w:styleId="af7">
    <w:name w:val="Date"/>
    <w:basedOn w:val="a"/>
    <w:next w:val="a"/>
    <w:link w:val="af8"/>
    <w:uiPriority w:val="99"/>
    <w:rsid w:val="00DD256F"/>
    <w:pPr>
      <w:ind w:leftChars="2500" w:left="100"/>
    </w:pPr>
    <w:rPr>
      <w:szCs w:val="21"/>
    </w:rPr>
  </w:style>
  <w:style w:type="character" w:customStyle="1" w:styleId="af8">
    <w:name w:val="日期 字符"/>
    <w:basedOn w:val="a0"/>
    <w:link w:val="af7"/>
    <w:uiPriority w:val="99"/>
    <w:rsid w:val="00DD256F"/>
    <w:rPr>
      <w:rFonts w:ascii="Times New Roman" w:eastAsia="宋体" w:hAnsi="Times New Roman" w:cs="Times New Roman"/>
      <w:szCs w:val="21"/>
    </w:rPr>
  </w:style>
  <w:style w:type="paragraph" w:styleId="af9">
    <w:name w:val="Note Heading"/>
    <w:basedOn w:val="a"/>
    <w:next w:val="a"/>
    <w:link w:val="afa"/>
    <w:uiPriority w:val="99"/>
    <w:rsid w:val="00DD256F"/>
    <w:pPr>
      <w:jc w:val="center"/>
    </w:pPr>
    <w:rPr>
      <w:szCs w:val="21"/>
    </w:rPr>
  </w:style>
  <w:style w:type="character" w:customStyle="1" w:styleId="afa">
    <w:name w:val="注释标题 字符"/>
    <w:basedOn w:val="a0"/>
    <w:link w:val="af9"/>
    <w:uiPriority w:val="99"/>
    <w:rsid w:val="00DD256F"/>
    <w:rPr>
      <w:rFonts w:ascii="Times New Roman" w:eastAsia="宋体" w:hAnsi="Times New Roman" w:cs="Times New Roman"/>
      <w:szCs w:val="21"/>
    </w:rPr>
  </w:style>
  <w:style w:type="paragraph" w:styleId="afb">
    <w:name w:val="toa heading"/>
    <w:basedOn w:val="a"/>
    <w:next w:val="a"/>
    <w:semiHidden/>
    <w:rsid w:val="00DD256F"/>
    <w:pPr>
      <w:spacing w:before="120"/>
    </w:pPr>
    <w:rPr>
      <w:rFonts w:ascii="Arial" w:hAnsi="Arial"/>
      <w:b/>
      <w:bCs/>
      <w:szCs w:val="21"/>
    </w:rPr>
  </w:style>
  <w:style w:type="paragraph" w:customStyle="1" w:styleId="52">
    <w:name w:val="标题5"/>
    <w:basedOn w:val="a"/>
    <w:rsid w:val="00DD256F"/>
    <w:pPr>
      <w:keepNext/>
      <w:keepLines/>
      <w:spacing w:before="280" w:after="290" w:line="376" w:lineRule="auto"/>
      <w:ind w:left="420" w:hanging="420"/>
      <w:outlineLvl w:val="4"/>
    </w:pPr>
    <w:rPr>
      <w:rFonts w:ascii="宋体" w:hAnsi="宋体"/>
      <w:b/>
      <w:bCs/>
      <w:szCs w:val="21"/>
    </w:rPr>
  </w:style>
  <w:style w:type="paragraph" w:styleId="afc">
    <w:name w:val="Revision"/>
    <w:hidden/>
    <w:uiPriority w:val="99"/>
    <w:semiHidden/>
    <w:rsid w:val="00BC1CB9"/>
    <w:rPr>
      <w:kern w:val="2"/>
      <w:sz w:val="21"/>
      <w:szCs w:val="22"/>
    </w:rPr>
  </w:style>
  <w:style w:type="character" w:customStyle="1" w:styleId="Char">
    <w:name w:val="正文的样式 Char"/>
    <w:basedOn w:val="a0"/>
    <w:link w:val="afd"/>
    <w:rsid w:val="006B00D5"/>
    <w:rPr>
      <w:kern w:val="2"/>
      <w:sz w:val="21"/>
      <w:szCs w:val="24"/>
    </w:rPr>
  </w:style>
  <w:style w:type="paragraph" w:customStyle="1" w:styleId="afd">
    <w:name w:val="正文的样式"/>
    <w:basedOn w:val="a"/>
    <w:link w:val="Char"/>
    <w:rsid w:val="006B00D5"/>
    <w:pPr>
      <w:spacing w:before="100" w:after="100"/>
    </w:pPr>
    <w:rPr>
      <w:szCs w:val="24"/>
    </w:rPr>
  </w:style>
  <w:style w:type="paragraph" w:styleId="afe">
    <w:name w:val="Document Map"/>
    <w:basedOn w:val="a"/>
    <w:link w:val="aff"/>
    <w:uiPriority w:val="99"/>
    <w:semiHidden/>
    <w:unhideWhenUsed/>
    <w:rsid w:val="0002110B"/>
    <w:rPr>
      <w:rFonts w:ascii="宋体"/>
      <w:sz w:val="18"/>
      <w:szCs w:val="18"/>
    </w:rPr>
  </w:style>
  <w:style w:type="character" w:customStyle="1" w:styleId="aff">
    <w:name w:val="文档结构图 字符"/>
    <w:basedOn w:val="a0"/>
    <w:link w:val="afe"/>
    <w:uiPriority w:val="99"/>
    <w:semiHidden/>
    <w:rsid w:val="0002110B"/>
    <w:rPr>
      <w:rFonts w:ascii="宋体"/>
      <w:kern w:val="2"/>
      <w:sz w:val="18"/>
      <w:szCs w:val="18"/>
    </w:rPr>
  </w:style>
  <w:style w:type="character" w:styleId="aff0">
    <w:name w:val="Placeholder Text"/>
    <w:basedOn w:val="a0"/>
    <w:uiPriority w:val="99"/>
    <w:semiHidden/>
    <w:rsid w:val="00205C40"/>
    <w:rPr>
      <w:color w:val="auto"/>
    </w:rPr>
  </w:style>
  <w:style w:type="numbering" w:customStyle="1" w:styleId="1">
    <w:name w:val="样式1"/>
    <w:uiPriority w:val="99"/>
    <w:rsid w:val="00C65930"/>
    <w:pPr>
      <w:numPr>
        <w:numId w:val="1"/>
      </w:numPr>
    </w:pPr>
  </w:style>
  <w:style w:type="numbering" w:customStyle="1" w:styleId="2">
    <w:name w:val="样式2"/>
    <w:uiPriority w:val="99"/>
    <w:rsid w:val="00EA5CF2"/>
    <w:pPr>
      <w:numPr>
        <w:numId w:val="2"/>
      </w:numPr>
    </w:pPr>
  </w:style>
  <w:style w:type="numbering" w:customStyle="1" w:styleId="3">
    <w:name w:val="样式3"/>
    <w:uiPriority w:val="99"/>
    <w:rsid w:val="00C74FA7"/>
    <w:pPr>
      <w:numPr>
        <w:numId w:val="3"/>
      </w:numPr>
    </w:pPr>
  </w:style>
  <w:style w:type="numbering" w:customStyle="1" w:styleId="4">
    <w:name w:val="样式4"/>
    <w:uiPriority w:val="99"/>
    <w:rsid w:val="008B0A6D"/>
    <w:pPr>
      <w:numPr>
        <w:numId w:val="5"/>
      </w:numPr>
    </w:pPr>
  </w:style>
  <w:style w:type="numbering" w:customStyle="1" w:styleId="5">
    <w:name w:val="样式5"/>
    <w:uiPriority w:val="99"/>
    <w:rsid w:val="008B0A6D"/>
    <w:pPr>
      <w:numPr>
        <w:numId w:val="6"/>
      </w:numPr>
    </w:pPr>
  </w:style>
  <w:style w:type="numbering" w:customStyle="1" w:styleId="6">
    <w:name w:val="样式6"/>
    <w:uiPriority w:val="99"/>
    <w:rsid w:val="008B0A6D"/>
    <w:pPr>
      <w:numPr>
        <w:numId w:val="8"/>
      </w:numPr>
    </w:pPr>
  </w:style>
  <w:style w:type="numbering" w:customStyle="1" w:styleId="7">
    <w:name w:val="样式7"/>
    <w:uiPriority w:val="99"/>
    <w:rsid w:val="00017CF8"/>
    <w:pPr>
      <w:numPr>
        <w:numId w:val="9"/>
      </w:numPr>
    </w:pPr>
  </w:style>
  <w:style w:type="character" w:customStyle="1" w:styleId="Char0">
    <w:name w:val="批注文字 Char"/>
    <w:uiPriority w:val="99"/>
    <w:rsid w:val="00284A21"/>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4704">
      <w:bodyDiv w:val="1"/>
      <w:marLeft w:val="0"/>
      <w:marRight w:val="0"/>
      <w:marTop w:val="0"/>
      <w:marBottom w:val="0"/>
      <w:divBdr>
        <w:top w:val="none" w:sz="0" w:space="0" w:color="auto"/>
        <w:left w:val="none" w:sz="0" w:space="0" w:color="auto"/>
        <w:bottom w:val="none" w:sz="0" w:space="0" w:color="auto"/>
        <w:right w:val="none" w:sz="0" w:space="0" w:color="auto"/>
      </w:divBdr>
    </w:div>
    <w:div w:id="96409322">
      <w:bodyDiv w:val="1"/>
      <w:marLeft w:val="0"/>
      <w:marRight w:val="0"/>
      <w:marTop w:val="0"/>
      <w:marBottom w:val="0"/>
      <w:divBdr>
        <w:top w:val="none" w:sz="0" w:space="0" w:color="auto"/>
        <w:left w:val="none" w:sz="0" w:space="0" w:color="auto"/>
        <w:bottom w:val="none" w:sz="0" w:space="0" w:color="auto"/>
        <w:right w:val="none" w:sz="0" w:space="0" w:color="auto"/>
      </w:divBdr>
    </w:div>
    <w:div w:id="497774575">
      <w:bodyDiv w:val="1"/>
      <w:marLeft w:val="0"/>
      <w:marRight w:val="0"/>
      <w:marTop w:val="0"/>
      <w:marBottom w:val="0"/>
      <w:divBdr>
        <w:top w:val="none" w:sz="0" w:space="0" w:color="auto"/>
        <w:left w:val="none" w:sz="0" w:space="0" w:color="auto"/>
        <w:bottom w:val="none" w:sz="0" w:space="0" w:color="auto"/>
        <w:right w:val="none" w:sz="0" w:space="0" w:color="auto"/>
      </w:divBdr>
    </w:div>
    <w:div w:id="1190799201">
      <w:bodyDiv w:val="1"/>
      <w:marLeft w:val="0"/>
      <w:marRight w:val="0"/>
      <w:marTop w:val="0"/>
      <w:marBottom w:val="0"/>
      <w:divBdr>
        <w:top w:val="none" w:sz="0" w:space="0" w:color="auto"/>
        <w:left w:val="none" w:sz="0" w:space="0" w:color="auto"/>
        <w:bottom w:val="none" w:sz="0" w:space="0" w:color="auto"/>
        <w:right w:val="none" w:sz="0" w:space="0" w:color="auto"/>
      </w:divBdr>
    </w:div>
    <w:div w:id="1219971695">
      <w:bodyDiv w:val="1"/>
      <w:marLeft w:val="0"/>
      <w:marRight w:val="0"/>
      <w:marTop w:val="0"/>
      <w:marBottom w:val="0"/>
      <w:divBdr>
        <w:top w:val="none" w:sz="0" w:space="0" w:color="auto"/>
        <w:left w:val="none" w:sz="0" w:space="0" w:color="auto"/>
        <w:bottom w:val="none" w:sz="0" w:space="0" w:color="auto"/>
        <w:right w:val="none" w:sz="0" w:space="0" w:color="auto"/>
      </w:divBdr>
    </w:div>
    <w:div w:id="1855487475">
      <w:bodyDiv w:val="1"/>
      <w:marLeft w:val="0"/>
      <w:marRight w:val="0"/>
      <w:marTop w:val="0"/>
      <w:marBottom w:val="0"/>
      <w:divBdr>
        <w:top w:val="none" w:sz="0" w:space="0" w:color="auto"/>
        <w:left w:val="none" w:sz="0" w:space="0" w:color="auto"/>
        <w:bottom w:val="none" w:sz="0" w:space="0" w:color="auto"/>
        <w:right w:val="none" w:sz="0" w:space="0" w:color="auto"/>
      </w:divBdr>
    </w:div>
    <w:div w:id="1879513053">
      <w:bodyDiv w:val="1"/>
      <w:marLeft w:val="0"/>
      <w:marRight w:val="0"/>
      <w:marTop w:val="0"/>
      <w:marBottom w:val="0"/>
      <w:divBdr>
        <w:top w:val="none" w:sz="0" w:space="0" w:color="auto"/>
        <w:left w:val="none" w:sz="0" w:space="0" w:color="auto"/>
        <w:bottom w:val="none" w:sz="0" w:space="0" w:color="auto"/>
        <w:right w:val="none" w:sz="0" w:space="0" w:color="auto"/>
      </w:divBdr>
      <w:divsChild>
        <w:div w:id="177605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B2CC-6252-498B-8DBF-142B9E80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398</Words>
  <Characters>2274</Characters>
  <Application>Microsoft Office Word</Application>
  <DocSecurity>0</DocSecurity>
  <Lines>18</Lines>
  <Paragraphs>5</Paragraphs>
  <ScaleCrop>false</ScaleCrop>
  <Company>Sky123.Org</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boya zhang</cp:lastModifiedBy>
  <cp:revision>5</cp:revision>
  <dcterms:created xsi:type="dcterms:W3CDTF">2025-08-15T02:46:00Z</dcterms:created>
  <dcterms:modified xsi:type="dcterms:W3CDTF">2025-08-26T07:34:00Z</dcterms:modified>
</cp:coreProperties>
</file>