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1014" w14:textId="16984094" w:rsidR="00D872BE" w:rsidRDefault="00B323C8">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公告编号：2025-</w:t>
      </w:r>
      <w:r w:rsidR="001B73DF">
        <w:rPr>
          <w:rFonts w:asciiTheme="minorEastAsia" w:eastAsiaTheme="minorEastAsia" w:hAnsiTheme="minorEastAsia" w:hint="eastAsia"/>
          <w:sz w:val="24"/>
          <w:szCs w:val="24"/>
        </w:rPr>
        <w:t>1</w:t>
      </w:r>
      <w:r w:rsidR="001B73DF">
        <w:rPr>
          <w:rFonts w:asciiTheme="minorEastAsia" w:eastAsiaTheme="minorEastAsia" w:hAnsiTheme="minorEastAsia"/>
          <w:sz w:val="24"/>
          <w:szCs w:val="24"/>
        </w:rPr>
        <w:t>59</w:t>
      </w:r>
      <w:bookmarkStart w:id="0" w:name="_GoBack"/>
      <w:bookmarkEnd w:id="0"/>
    </w:p>
    <w:p w14:paraId="12A1D677" w14:textId="77777777" w:rsidR="00845CDA" w:rsidRDefault="00845CDA">
      <w:pPr>
        <w:spacing w:line="360" w:lineRule="auto"/>
        <w:jc w:val="left"/>
        <w:rPr>
          <w:rFonts w:asciiTheme="minorEastAsia" w:eastAsiaTheme="minorEastAsia" w:hAnsiTheme="minorEastAsia"/>
          <w:sz w:val="24"/>
          <w:szCs w:val="24"/>
        </w:rPr>
      </w:pPr>
    </w:p>
    <w:p w14:paraId="204299BF" w14:textId="77777777" w:rsidR="00D872BE" w:rsidRDefault="00B323C8" w:rsidP="00845CDA">
      <w:pPr>
        <w:spacing w:beforeLines="50" w:before="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14:paraId="3610FCFE" w14:textId="77777777" w:rsidR="00D872BE" w:rsidRDefault="00B323C8" w:rsidP="00845CDA">
      <w:pPr>
        <w:spacing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2024年度“提质增效重回报”行动方案半年度评估报告</w:t>
      </w:r>
    </w:p>
    <w:p w14:paraId="0CBC6790" w14:textId="77777777" w:rsidR="00D872BE" w:rsidRDefault="00B323C8">
      <w:pPr>
        <w:pBdr>
          <w:top w:val="single" w:sz="4" w:space="8"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14:paraId="32DDC419" w14:textId="77777777" w:rsidR="00D872BE" w:rsidRDefault="00D872BE">
      <w:pPr>
        <w:pStyle w:val="af"/>
        <w:spacing w:line="360" w:lineRule="auto"/>
        <w:rPr>
          <w:rFonts w:asciiTheme="minorEastAsia" w:eastAsiaTheme="minorEastAsia" w:hAnsiTheme="minorEastAsia"/>
          <w:b/>
          <w:sz w:val="24"/>
          <w:szCs w:val="24"/>
        </w:rPr>
      </w:pPr>
    </w:p>
    <w:p w14:paraId="6CCF5802" w14:textId="53A5206F"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山东步长制药股份有限公司（以下简称“步长制药”或“公司”）为深入贯彻党的二十大和中央金融工作会议精神，落实国务院《关于进一步提高上市公司质量的意见》要求，积极响应上海证券交易所《关于开展沪市公司“提质增效重回报”专项行动的倡议》，以投资者是市场之本，上市公司为市场之基，为维护全体股东的利益，基于对公司未来发展的信心以及对公司长期价值的认可，于</w:t>
      </w:r>
      <w:r w:rsidRPr="00AB1054">
        <w:rPr>
          <w:rFonts w:ascii="宋体" w:hAnsi="宋体"/>
          <w:sz w:val="24"/>
          <w:szCs w:val="24"/>
        </w:rPr>
        <w:t>2024年7月18日制定</w:t>
      </w:r>
      <w:r w:rsidRPr="00AB1054">
        <w:rPr>
          <w:rFonts w:ascii="宋体" w:hAnsi="宋体" w:hint="eastAsia"/>
          <w:sz w:val="24"/>
          <w:szCs w:val="24"/>
        </w:rPr>
        <w:t>了</w:t>
      </w:r>
      <w:r w:rsidRPr="00AB1054">
        <w:rPr>
          <w:rFonts w:ascii="宋体" w:hAnsi="宋体"/>
          <w:sz w:val="24"/>
          <w:szCs w:val="24"/>
        </w:rPr>
        <w:t>《</w:t>
      </w:r>
      <w:r>
        <w:rPr>
          <w:rFonts w:ascii="宋体" w:hAnsi="宋体"/>
          <w:sz w:val="24"/>
          <w:szCs w:val="24"/>
        </w:rPr>
        <w:t>2024</w:t>
      </w:r>
      <w:r w:rsidRPr="00AB1054">
        <w:rPr>
          <w:rFonts w:ascii="宋体" w:hAnsi="宋体"/>
          <w:sz w:val="24"/>
          <w:szCs w:val="24"/>
        </w:rPr>
        <w:t>年度“提质增效重回报”行动方案》（以下简称</w:t>
      </w:r>
      <w:r>
        <w:rPr>
          <w:rFonts w:ascii="宋体" w:hAnsi="宋体" w:hint="eastAsia"/>
          <w:sz w:val="24"/>
          <w:szCs w:val="24"/>
        </w:rPr>
        <w:t>“《行动方案》”）。截至2</w:t>
      </w:r>
      <w:r>
        <w:rPr>
          <w:rFonts w:ascii="宋体" w:hAnsi="宋体"/>
          <w:sz w:val="24"/>
          <w:szCs w:val="24"/>
        </w:rPr>
        <w:t>025</w:t>
      </w:r>
      <w:r>
        <w:rPr>
          <w:rFonts w:ascii="宋体" w:hAnsi="宋体" w:hint="eastAsia"/>
          <w:sz w:val="24"/>
          <w:szCs w:val="24"/>
        </w:rPr>
        <w:t>年6月3</w:t>
      </w:r>
      <w:r>
        <w:rPr>
          <w:rFonts w:ascii="宋体" w:hAnsi="宋体"/>
          <w:sz w:val="24"/>
          <w:szCs w:val="24"/>
        </w:rPr>
        <w:t>0</w:t>
      </w:r>
      <w:r>
        <w:rPr>
          <w:rFonts w:ascii="宋体" w:hAnsi="宋体" w:hint="eastAsia"/>
          <w:sz w:val="24"/>
          <w:szCs w:val="24"/>
        </w:rPr>
        <w:t>日</w:t>
      </w:r>
      <w:r w:rsidRPr="00AB1054">
        <w:rPr>
          <w:rFonts w:ascii="宋体" w:hAnsi="宋体" w:hint="eastAsia"/>
          <w:sz w:val="24"/>
          <w:szCs w:val="24"/>
        </w:rPr>
        <w:t>，公司积极推动落实以下相关工作，取得阶段性进展和成效，现将有关情况公告如下：</w:t>
      </w:r>
    </w:p>
    <w:p w14:paraId="69703079"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一、聚焦经营主业，增强企业核心竞争力</w:t>
      </w:r>
      <w:r w:rsidRPr="00AB1054">
        <w:rPr>
          <w:rFonts w:ascii="宋体" w:hAnsi="宋体"/>
          <w:b/>
          <w:sz w:val="24"/>
          <w:szCs w:val="24"/>
        </w:rPr>
        <w:t xml:space="preserve"> </w:t>
      </w:r>
    </w:p>
    <w:p w14:paraId="10007398" w14:textId="77777777" w:rsidR="0079182B"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致力于成为中国最优秀的制药企业之一，主要从事中成药的研发、生产和销售，同时也在化药、生物药及疫苗等领域进军与扩张。公司始终坚持“中国的强生、世界的步长”及“以中药为基础，向生物药、疫苗等医药高科技行业扩张”的战略与“聚焦大行业、培育大品种”的发展方向。</w:t>
      </w:r>
      <w:r w:rsidRPr="00AB1054">
        <w:rPr>
          <w:rFonts w:ascii="宋体" w:hAnsi="宋体"/>
          <w:sz w:val="24"/>
          <w:szCs w:val="24"/>
        </w:rPr>
        <w:t>公司</w:t>
      </w:r>
      <w:r w:rsidRPr="00AB1054">
        <w:rPr>
          <w:rFonts w:ascii="宋体" w:hAnsi="宋体" w:hint="eastAsia"/>
          <w:sz w:val="24"/>
          <w:szCs w:val="24"/>
        </w:rPr>
        <w:t>已形成了立足心脑血管市场，并积极开拓妇科、泌尿、糖尿病、恶性肿瘤等领域，在紧紧依靠中成药的传统优势上，布局化药、生物药、医药“互联网</w:t>
      </w:r>
      <w:r w:rsidRPr="00AB1054">
        <w:rPr>
          <w:rFonts w:ascii="宋体" w:hAnsi="宋体"/>
          <w:sz w:val="24"/>
          <w:szCs w:val="24"/>
        </w:rPr>
        <w:t>+”、基因测</w:t>
      </w:r>
      <w:r w:rsidRPr="00AB1054">
        <w:rPr>
          <w:rFonts w:ascii="宋体" w:hAnsi="宋体" w:hint="eastAsia"/>
          <w:sz w:val="24"/>
          <w:szCs w:val="24"/>
        </w:rPr>
        <w:t>序等领域，聚焦大病种、培育大品种的立体产品格局。</w:t>
      </w:r>
    </w:p>
    <w:p w14:paraId="7C5F3554" w14:textId="77777777" w:rsidR="0079182B" w:rsidRPr="00EF5421" w:rsidRDefault="0079182B" w:rsidP="0079182B">
      <w:pPr>
        <w:spacing w:line="360" w:lineRule="auto"/>
        <w:ind w:firstLineChars="200" w:firstLine="480"/>
        <w:jc w:val="left"/>
        <w:rPr>
          <w:rFonts w:ascii="宋体" w:hAnsi="宋体"/>
          <w:sz w:val="24"/>
          <w:szCs w:val="24"/>
        </w:rPr>
      </w:pPr>
      <w:r>
        <w:rPr>
          <w:rFonts w:ascii="宋体" w:hAnsi="宋体"/>
          <w:sz w:val="24"/>
          <w:szCs w:val="24"/>
        </w:rPr>
        <w:t>2025年</w:t>
      </w:r>
      <w:r>
        <w:rPr>
          <w:rFonts w:ascii="宋体" w:hAnsi="宋体" w:hint="eastAsia"/>
          <w:sz w:val="24"/>
          <w:szCs w:val="24"/>
        </w:rPr>
        <w:t>上半年</w:t>
      </w:r>
      <w:r>
        <w:rPr>
          <w:rFonts w:ascii="宋体" w:hAnsi="宋体"/>
          <w:sz w:val="24"/>
          <w:szCs w:val="24"/>
        </w:rPr>
        <w:t>，随着公司战略的不断推进，产品组合和客户结构的持续优化和调</w:t>
      </w:r>
      <w:r>
        <w:rPr>
          <w:rFonts w:ascii="宋体" w:hAnsi="宋体" w:hint="eastAsia"/>
          <w:sz w:val="24"/>
          <w:szCs w:val="24"/>
        </w:rPr>
        <w:t>整，实现营业总收入566,383.63</w:t>
      </w:r>
      <w:r>
        <w:rPr>
          <w:rFonts w:ascii="宋体" w:hAnsi="宋体"/>
          <w:sz w:val="24"/>
          <w:szCs w:val="24"/>
        </w:rPr>
        <w:t>万元。其中，</w:t>
      </w:r>
      <w:r>
        <w:rPr>
          <w:rFonts w:ascii="宋体" w:hAnsi="宋体" w:hint="eastAsia"/>
          <w:sz w:val="24"/>
          <w:szCs w:val="24"/>
        </w:rPr>
        <w:t>中药产品</w:t>
      </w:r>
      <w:r>
        <w:rPr>
          <w:rFonts w:ascii="宋体" w:hAnsi="宋体"/>
          <w:sz w:val="24"/>
          <w:szCs w:val="24"/>
        </w:rPr>
        <w:t>作为公司主要业</w:t>
      </w:r>
      <w:r>
        <w:rPr>
          <w:rFonts w:ascii="宋体" w:hAnsi="宋体" w:hint="eastAsia"/>
          <w:sz w:val="24"/>
          <w:szCs w:val="24"/>
        </w:rPr>
        <w:t>务，实现营业收入466,</w:t>
      </w:r>
      <w:r>
        <w:rPr>
          <w:rFonts w:ascii="宋体" w:hAnsi="宋体"/>
          <w:sz w:val="24"/>
          <w:szCs w:val="24"/>
        </w:rPr>
        <w:t>334</w:t>
      </w:r>
      <w:r>
        <w:rPr>
          <w:rFonts w:ascii="宋体" w:hAnsi="宋体" w:hint="eastAsia"/>
          <w:sz w:val="24"/>
          <w:szCs w:val="24"/>
        </w:rPr>
        <w:t>.</w:t>
      </w:r>
      <w:r>
        <w:rPr>
          <w:rFonts w:ascii="宋体" w:hAnsi="宋体"/>
          <w:sz w:val="24"/>
          <w:szCs w:val="24"/>
        </w:rPr>
        <w:t>09万元，占营业总收入的</w:t>
      </w:r>
      <w:r>
        <w:rPr>
          <w:rFonts w:ascii="宋体" w:hAnsi="宋体" w:hint="eastAsia"/>
          <w:sz w:val="24"/>
          <w:szCs w:val="24"/>
        </w:rPr>
        <w:t>82.3</w:t>
      </w:r>
      <w:r>
        <w:rPr>
          <w:rFonts w:ascii="宋体" w:hAnsi="宋体"/>
          <w:sz w:val="24"/>
          <w:szCs w:val="24"/>
        </w:rPr>
        <w:t>4%；</w:t>
      </w:r>
      <w:r>
        <w:rPr>
          <w:rFonts w:ascii="宋体" w:hAnsi="宋体" w:hint="eastAsia"/>
          <w:sz w:val="24"/>
          <w:szCs w:val="24"/>
        </w:rPr>
        <w:t>化学</w:t>
      </w:r>
      <w:proofErr w:type="gramStart"/>
      <w:r>
        <w:rPr>
          <w:rFonts w:ascii="宋体" w:hAnsi="宋体" w:hint="eastAsia"/>
          <w:sz w:val="24"/>
          <w:szCs w:val="24"/>
        </w:rPr>
        <w:t>药</w:t>
      </w:r>
      <w:r>
        <w:rPr>
          <w:rFonts w:ascii="宋体" w:hAnsi="宋体"/>
          <w:sz w:val="24"/>
          <w:szCs w:val="24"/>
        </w:rPr>
        <w:t>实现</w:t>
      </w:r>
      <w:proofErr w:type="gramEnd"/>
      <w:r>
        <w:rPr>
          <w:rFonts w:ascii="宋体" w:hAnsi="宋体"/>
          <w:sz w:val="24"/>
          <w:szCs w:val="24"/>
        </w:rPr>
        <w:t>营业收入</w:t>
      </w:r>
      <w:r>
        <w:rPr>
          <w:rFonts w:ascii="宋体" w:hAnsi="宋体" w:hint="eastAsia"/>
          <w:sz w:val="24"/>
          <w:szCs w:val="24"/>
        </w:rPr>
        <w:t>57,</w:t>
      </w:r>
      <w:r>
        <w:rPr>
          <w:rFonts w:ascii="宋体" w:hAnsi="宋体"/>
          <w:sz w:val="24"/>
          <w:szCs w:val="24"/>
        </w:rPr>
        <w:t>112</w:t>
      </w:r>
      <w:r>
        <w:rPr>
          <w:rFonts w:ascii="宋体" w:hAnsi="宋体" w:hint="eastAsia"/>
          <w:sz w:val="24"/>
          <w:szCs w:val="24"/>
        </w:rPr>
        <w:t>.0</w:t>
      </w:r>
      <w:r>
        <w:rPr>
          <w:rFonts w:ascii="宋体" w:hAnsi="宋体"/>
          <w:sz w:val="24"/>
          <w:szCs w:val="24"/>
        </w:rPr>
        <w:t>2万元，占营业总收入的</w:t>
      </w:r>
      <w:r>
        <w:rPr>
          <w:rFonts w:ascii="宋体" w:hAnsi="宋体" w:hint="eastAsia"/>
          <w:sz w:val="24"/>
          <w:szCs w:val="24"/>
        </w:rPr>
        <w:t>10.</w:t>
      </w:r>
      <w:r>
        <w:rPr>
          <w:rFonts w:ascii="宋体" w:hAnsi="宋体"/>
          <w:sz w:val="24"/>
          <w:szCs w:val="24"/>
        </w:rPr>
        <w:t>0</w:t>
      </w:r>
      <w:r>
        <w:rPr>
          <w:rFonts w:ascii="宋体" w:hAnsi="宋体" w:hint="eastAsia"/>
          <w:sz w:val="24"/>
          <w:szCs w:val="24"/>
        </w:rPr>
        <w:t>8</w:t>
      </w:r>
      <w:r>
        <w:rPr>
          <w:rFonts w:ascii="宋体" w:hAnsi="宋体"/>
          <w:sz w:val="24"/>
          <w:szCs w:val="24"/>
        </w:rPr>
        <w:t>%；医疗器械产品实</w:t>
      </w:r>
      <w:r>
        <w:rPr>
          <w:rFonts w:ascii="宋体" w:hAnsi="宋体" w:hint="eastAsia"/>
          <w:sz w:val="24"/>
          <w:szCs w:val="24"/>
        </w:rPr>
        <w:t>现营业收入37,423.61</w:t>
      </w:r>
      <w:r>
        <w:rPr>
          <w:rFonts w:ascii="宋体" w:hAnsi="宋体"/>
          <w:sz w:val="24"/>
          <w:szCs w:val="24"/>
        </w:rPr>
        <w:t>万元</w:t>
      </w:r>
      <w:r>
        <w:rPr>
          <w:rFonts w:ascii="宋体" w:hAnsi="宋体" w:hint="eastAsia"/>
          <w:sz w:val="24"/>
          <w:szCs w:val="24"/>
        </w:rPr>
        <w:t>，</w:t>
      </w:r>
      <w:r>
        <w:rPr>
          <w:rFonts w:ascii="宋体" w:hAnsi="宋体"/>
          <w:sz w:val="24"/>
          <w:szCs w:val="24"/>
        </w:rPr>
        <w:t>占营业总收入的</w:t>
      </w:r>
      <w:r>
        <w:rPr>
          <w:rFonts w:ascii="宋体" w:hAnsi="宋体" w:hint="eastAsia"/>
          <w:sz w:val="24"/>
          <w:szCs w:val="24"/>
        </w:rPr>
        <w:t>6.61</w:t>
      </w:r>
      <w:r>
        <w:rPr>
          <w:rFonts w:ascii="宋体" w:hAnsi="宋体"/>
          <w:sz w:val="24"/>
          <w:szCs w:val="24"/>
        </w:rPr>
        <w:t>%。</w:t>
      </w:r>
    </w:p>
    <w:p w14:paraId="6B8DD0AC" w14:textId="77777777" w:rsidR="0079182B" w:rsidRPr="00AB1054" w:rsidRDefault="0079182B" w:rsidP="0079182B">
      <w:pPr>
        <w:spacing w:line="360" w:lineRule="auto"/>
        <w:ind w:firstLineChars="200" w:firstLine="480"/>
        <w:jc w:val="left"/>
        <w:rPr>
          <w:rFonts w:ascii="宋体" w:hAnsi="宋体"/>
          <w:sz w:val="24"/>
          <w:szCs w:val="24"/>
        </w:rPr>
      </w:pPr>
      <w:r>
        <w:rPr>
          <w:rFonts w:ascii="宋体" w:hAnsi="宋体" w:hint="eastAsia"/>
          <w:sz w:val="24"/>
          <w:szCs w:val="24"/>
        </w:rPr>
        <w:lastRenderedPageBreak/>
        <w:t>2</w:t>
      </w:r>
      <w:r>
        <w:rPr>
          <w:rFonts w:ascii="宋体" w:hAnsi="宋体"/>
          <w:sz w:val="24"/>
          <w:szCs w:val="24"/>
        </w:rPr>
        <w:t>025</w:t>
      </w:r>
      <w:r>
        <w:rPr>
          <w:rFonts w:ascii="宋体" w:hAnsi="宋体" w:hint="eastAsia"/>
          <w:sz w:val="24"/>
          <w:szCs w:val="24"/>
        </w:rPr>
        <w:t>年上半年</w:t>
      </w:r>
      <w:r w:rsidRPr="00AB1054">
        <w:rPr>
          <w:rFonts w:ascii="宋体" w:hAnsi="宋体"/>
          <w:sz w:val="24"/>
          <w:szCs w:val="24"/>
        </w:rPr>
        <w:t>，公司</w:t>
      </w:r>
      <w:r>
        <w:rPr>
          <w:rFonts w:ascii="宋体" w:hAnsi="宋体" w:hint="eastAsia"/>
          <w:sz w:val="24"/>
          <w:szCs w:val="24"/>
        </w:rPr>
        <w:t>继续</w:t>
      </w:r>
      <w:r w:rsidRPr="00AB1054">
        <w:rPr>
          <w:rFonts w:ascii="宋体" w:hAnsi="宋体"/>
          <w:sz w:val="24"/>
          <w:szCs w:val="24"/>
        </w:rPr>
        <w:t>以中药为基础，持续向化药、生物药、疫苗等医药高科技行</w:t>
      </w:r>
      <w:r w:rsidRPr="00AB1054">
        <w:rPr>
          <w:rFonts w:ascii="宋体" w:hAnsi="宋体" w:hint="eastAsia"/>
          <w:sz w:val="24"/>
          <w:szCs w:val="24"/>
        </w:rPr>
        <w:t>业扩张，持续专注主营业务，围绕公司中成药、化药、生物药与疫苗等领域，在现有业务基础上持续强化经营效能，持续提升公司核心竞争力，积极推进全球化布局，提高市场占有率。具体包括以下几个方面：</w:t>
      </w:r>
    </w:p>
    <w:p w14:paraId="3A8B4BBF"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（一）坚持“聚焦大行业、培育大品种”战略</w:t>
      </w:r>
    </w:p>
    <w:p w14:paraId="0CE5C292"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公司在现有产品领域持续发力，不断加大研发投入，致力于深度挖掘产品潜力，延长产品生命周期。在具体实践中，公司稳步推进脑心通胶囊、丹红注射液的循证医学研究，同时持续开展</w:t>
      </w:r>
      <w:proofErr w:type="gramStart"/>
      <w:r w:rsidRPr="00AB1054">
        <w:rPr>
          <w:rFonts w:ascii="宋体" w:hAnsi="宋体" w:hint="eastAsia"/>
          <w:sz w:val="24"/>
          <w:szCs w:val="24"/>
        </w:rPr>
        <w:t>红核妇洁洗液</w:t>
      </w:r>
      <w:proofErr w:type="gramEnd"/>
      <w:r w:rsidRPr="00AB1054">
        <w:rPr>
          <w:rFonts w:ascii="宋体" w:hAnsi="宋体" w:hint="eastAsia"/>
          <w:sz w:val="24"/>
          <w:szCs w:val="24"/>
        </w:rPr>
        <w:t>、康妇炎胶囊、头痛宁胶囊的二次开发工作。在注射液剂型布局方面，公司已初步构建起心脑血管病、肿瘤、骨质疏松等领域的中药注射液与化药注射液互补体系，以有效应对市场变化与政策调整。此外，公司积极拓展产品剂型，在口服液、胶囊、片剂等领域也展开了全方位布局。</w:t>
      </w:r>
    </w:p>
    <w:p w14:paraId="656608E5"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此外，公司积极布局，投资四川泸州生物制药基地，旨在充分整合中医药行业源远流长的历史底蕴、得天独厚的丰富药材资源，以及自身在理论研究、品牌建设、研发创新、生产制造和市场销售等多维度的综合优势，意图进一步巩固和提升在心脑血管与妇科用药领域的领先地位。同时，稳步向糖尿病、抗肿瘤、泌尿系统、消化系统、呼吸系统等重大疾病治疗领域拓展业务版图，以此构建起一套各领域产品相互补充、协同渗透的产品集群体系，全方位增强公司的持续增长动力与发展韧性，确保在激烈的市场竞争中始终保持稳健的成长态势。</w:t>
      </w:r>
    </w:p>
    <w:p w14:paraId="16701954"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（二）多类型药品协同研发，完善大健康产业链</w:t>
      </w:r>
    </w:p>
    <w:p w14:paraId="658860B6"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公司锚定“以发展中医药为主线，深耕中药现代化”这一核心理念，将战略目光聚焦于向生物药、疫苗等前沿医药高科技领域拓展。</w:t>
      </w:r>
      <w:r w:rsidRPr="00AB1054">
        <w:rPr>
          <w:rFonts w:ascii="宋体" w:hAnsi="宋体"/>
          <w:sz w:val="24"/>
          <w:szCs w:val="24"/>
        </w:rPr>
        <w:t>公司充分整</w:t>
      </w:r>
      <w:r w:rsidRPr="00AB1054">
        <w:rPr>
          <w:rFonts w:ascii="宋体" w:hAnsi="宋体" w:hint="eastAsia"/>
          <w:sz w:val="24"/>
          <w:szCs w:val="24"/>
        </w:rPr>
        <w:t>合内部研发资源，构建起高度协同的研发体系，促使各业务板块多点突破、蓬勃发展，稳健且有力地朝着完善大健康产业链的目标迈出了坚实步伐。</w:t>
      </w:r>
    </w:p>
    <w:p w14:paraId="3BF324F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在心脑血管领域，公司以脑心同治论为指导，将</w:t>
      </w:r>
      <w:proofErr w:type="gramStart"/>
      <w:r w:rsidRPr="00AB1054">
        <w:rPr>
          <w:rFonts w:ascii="宋体" w:hAnsi="宋体" w:hint="eastAsia"/>
          <w:sz w:val="24"/>
          <w:szCs w:val="24"/>
        </w:rPr>
        <w:t>创新组</w:t>
      </w:r>
      <w:proofErr w:type="gramEnd"/>
      <w:r w:rsidRPr="00AB1054">
        <w:rPr>
          <w:rFonts w:ascii="宋体" w:hAnsi="宋体" w:hint="eastAsia"/>
          <w:sz w:val="24"/>
          <w:szCs w:val="24"/>
        </w:rPr>
        <w:t>方与现代制药工艺和</w:t>
      </w:r>
      <w:proofErr w:type="gramStart"/>
      <w:r w:rsidRPr="00AB1054">
        <w:rPr>
          <w:rFonts w:ascii="宋体" w:hAnsi="宋体" w:hint="eastAsia"/>
          <w:sz w:val="24"/>
          <w:szCs w:val="24"/>
        </w:rPr>
        <w:t>质控</w:t>
      </w:r>
      <w:proofErr w:type="gramEnd"/>
      <w:r w:rsidRPr="00AB1054">
        <w:rPr>
          <w:rFonts w:ascii="宋体" w:hAnsi="宋体" w:hint="eastAsia"/>
          <w:sz w:val="24"/>
          <w:szCs w:val="24"/>
        </w:rPr>
        <w:t>标准相结合，在长期大量临床实践中逐步形成了互补的多靶点联合用药方案，强化治疗效果。公司致力于发展中药大品种，已经培育出了脑心通胶囊、稳心颗粒、丹红注射液三个独家中药品种；</w:t>
      </w:r>
      <w:r w:rsidRPr="00D463C5">
        <w:rPr>
          <w:rFonts w:ascii="宋体" w:hAnsi="宋体" w:hint="eastAsia"/>
          <w:sz w:val="24"/>
          <w:szCs w:val="24"/>
        </w:rPr>
        <w:t>在妇科领域，公司的妇科独家品种康妇炎胶囊与</w:t>
      </w:r>
      <w:proofErr w:type="gramStart"/>
      <w:r w:rsidRPr="00D463C5">
        <w:rPr>
          <w:rFonts w:ascii="宋体" w:hAnsi="宋体" w:hint="eastAsia"/>
          <w:sz w:val="24"/>
          <w:szCs w:val="24"/>
        </w:rPr>
        <w:t>红核妇洁洗液</w:t>
      </w:r>
      <w:proofErr w:type="gramEnd"/>
      <w:r w:rsidRPr="00D463C5">
        <w:rPr>
          <w:rFonts w:ascii="宋体" w:hAnsi="宋体" w:hint="eastAsia"/>
          <w:sz w:val="24"/>
          <w:szCs w:val="24"/>
        </w:rPr>
        <w:t>分别在</w:t>
      </w:r>
      <w:r w:rsidRPr="00D463C5">
        <w:rPr>
          <w:rFonts w:ascii="宋体" w:hAnsi="宋体"/>
          <w:sz w:val="24"/>
          <w:szCs w:val="24"/>
        </w:rPr>
        <w:t>2024年中国【城市公立,县级公立,城市</w:t>
      </w:r>
      <w:r w:rsidRPr="00D463C5">
        <w:rPr>
          <w:rFonts w:ascii="宋体" w:hAnsi="宋体"/>
          <w:sz w:val="24"/>
          <w:szCs w:val="24"/>
        </w:rPr>
        <w:lastRenderedPageBreak/>
        <w:t>社区,乡镇卫生】</w:t>
      </w:r>
      <w:r w:rsidRPr="00D463C5">
        <w:rPr>
          <w:rFonts w:ascii="宋体" w:hAnsi="宋体" w:hint="eastAsia"/>
          <w:sz w:val="24"/>
          <w:szCs w:val="24"/>
        </w:rPr>
        <w:t>【</w:t>
      </w:r>
      <w:r w:rsidRPr="00D463C5">
        <w:rPr>
          <w:rFonts w:ascii="宋体" w:hAnsi="宋体"/>
          <w:sz w:val="24"/>
          <w:szCs w:val="24"/>
        </w:rPr>
        <w:t>[</w:t>
      </w:r>
      <w:r w:rsidRPr="00D463C5">
        <w:rPr>
          <w:rFonts w:ascii="宋体" w:hAnsi="宋体" w:hint="eastAsia"/>
          <w:sz w:val="24"/>
          <w:szCs w:val="24"/>
        </w:rPr>
        <w:t>中]妇科用药】通用名</w:t>
      </w:r>
      <w:r>
        <w:rPr>
          <w:rFonts w:ascii="宋体" w:hAnsi="宋体"/>
          <w:sz w:val="24"/>
          <w:szCs w:val="24"/>
        </w:rPr>
        <w:t>TOP20</w:t>
      </w:r>
      <w:r w:rsidRPr="00D463C5">
        <w:rPr>
          <w:rFonts w:ascii="宋体" w:hAnsi="宋体"/>
          <w:sz w:val="24"/>
          <w:szCs w:val="24"/>
        </w:rPr>
        <w:t>格局中排名10与12</w:t>
      </w:r>
      <w:r w:rsidRPr="00AB1054">
        <w:rPr>
          <w:rFonts w:ascii="宋体" w:hAnsi="宋体"/>
          <w:sz w:val="24"/>
          <w:szCs w:val="24"/>
        </w:rPr>
        <w:t>；在泌尿和呼吸系统</w:t>
      </w:r>
      <w:r w:rsidRPr="00AB1054">
        <w:rPr>
          <w:rFonts w:ascii="宋体" w:hAnsi="宋体" w:hint="eastAsia"/>
          <w:sz w:val="24"/>
          <w:szCs w:val="24"/>
        </w:rPr>
        <w:t>领域，公司的独家品种前列舒通胶囊和</w:t>
      </w:r>
      <w:proofErr w:type="gramStart"/>
      <w:r w:rsidRPr="00AB1054">
        <w:rPr>
          <w:rFonts w:ascii="宋体" w:hAnsi="宋体" w:hint="eastAsia"/>
          <w:sz w:val="24"/>
          <w:szCs w:val="24"/>
        </w:rPr>
        <w:t>宣肺</w:t>
      </w:r>
      <w:proofErr w:type="gramEnd"/>
      <w:r w:rsidRPr="00AB1054">
        <w:rPr>
          <w:rFonts w:ascii="宋体" w:hAnsi="宋体" w:hint="eastAsia"/>
          <w:sz w:val="24"/>
          <w:szCs w:val="24"/>
        </w:rPr>
        <w:t>败毒颗粒保持着良好的产品竞争力，其中，宣肺败毒颗粒已符合加拿大、哈萨克斯坦与乌兹别克斯坦的注册标准并被准许上市销售；在化药领域，随着心脑血管市场的快速增长及中药行业政策的变化，公司在原</w:t>
      </w:r>
      <w:proofErr w:type="gramStart"/>
      <w:r w:rsidRPr="00AB1054">
        <w:rPr>
          <w:rFonts w:ascii="宋体" w:hAnsi="宋体" w:hint="eastAsia"/>
          <w:sz w:val="24"/>
          <w:szCs w:val="24"/>
        </w:rPr>
        <w:t>研</w:t>
      </w:r>
      <w:proofErr w:type="gramEnd"/>
      <w:r w:rsidRPr="00AB1054">
        <w:rPr>
          <w:rFonts w:ascii="宋体" w:hAnsi="宋体" w:hint="eastAsia"/>
          <w:sz w:val="24"/>
          <w:szCs w:val="24"/>
        </w:rPr>
        <w:t>药中积极投入，积极筛选具有靶点明确的化药，布局化药的先进剂型，已培育出复方脑肽节</w:t>
      </w:r>
      <w:proofErr w:type="gramStart"/>
      <w:r w:rsidRPr="00AB1054">
        <w:rPr>
          <w:rFonts w:ascii="宋体" w:hAnsi="宋体" w:hint="eastAsia"/>
          <w:sz w:val="24"/>
          <w:szCs w:val="24"/>
        </w:rPr>
        <w:t>苷</w:t>
      </w:r>
      <w:proofErr w:type="gramEnd"/>
      <w:r w:rsidRPr="00AB1054">
        <w:rPr>
          <w:rFonts w:ascii="宋体" w:hAnsi="宋体" w:hint="eastAsia"/>
          <w:sz w:val="24"/>
          <w:szCs w:val="24"/>
        </w:rPr>
        <w:t>脂注射液（独家品种）、复方曲肽注射液（独家、专利品种）、谷红注射液（独家、专利品种）、银杏蜜环口服溶液（独家品种）在内的多个化</w:t>
      </w:r>
      <w:proofErr w:type="gramStart"/>
      <w:r w:rsidRPr="00AB1054">
        <w:rPr>
          <w:rFonts w:ascii="宋体" w:hAnsi="宋体" w:hint="eastAsia"/>
          <w:sz w:val="24"/>
          <w:szCs w:val="24"/>
        </w:rPr>
        <w:t>药类型</w:t>
      </w:r>
      <w:proofErr w:type="gramEnd"/>
      <w:r w:rsidRPr="00AB1054">
        <w:rPr>
          <w:rFonts w:ascii="宋体" w:hAnsi="宋体" w:hint="eastAsia"/>
          <w:sz w:val="24"/>
          <w:szCs w:val="24"/>
        </w:rPr>
        <w:t>注射和口服剂型产品；在生物药领域，公司针对肿瘤、骨质疏松等大病种、长期病、慢性病等领域，持续进行生物制品的研发与临床实验，截至</w:t>
      </w:r>
      <w:r w:rsidRPr="00AB1054">
        <w:rPr>
          <w:rFonts w:ascii="宋体" w:hAnsi="宋体"/>
          <w:sz w:val="24"/>
          <w:szCs w:val="24"/>
        </w:rPr>
        <w:t>2025年</w:t>
      </w:r>
      <w:r w:rsidRPr="00AB1054">
        <w:rPr>
          <w:rFonts w:ascii="宋体" w:hAnsi="宋体" w:hint="eastAsia"/>
          <w:sz w:val="24"/>
          <w:szCs w:val="24"/>
        </w:rPr>
        <w:t>6月3</w:t>
      </w:r>
      <w:r w:rsidRPr="00AB1054">
        <w:rPr>
          <w:rFonts w:ascii="宋体" w:hAnsi="宋体"/>
          <w:sz w:val="24"/>
          <w:szCs w:val="24"/>
        </w:rPr>
        <w:t>0</w:t>
      </w:r>
      <w:r w:rsidRPr="00AB1054">
        <w:rPr>
          <w:rFonts w:ascii="宋体" w:hAnsi="宋体" w:hint="eastAsia"/>
          <w:sz w:val="24"/>
          <w:szCs w:val="24"/>
        </w:rPr>
        <w:t>日</w:t>
      </w:r>
      <w:r w:rsidRPr="00AB1054">
        <w:rPr>
          <w:rFonts w:ascii="宋体" w:hAnsi="宋体"/>
          <w:sz w:val="24"/>
          <w:szCs w:val="24"/>
        </w:rPr>
        <w:t>，</w:t>
      </w:r>
      <w:r w:rsidRPr="00BB5E8D">
        <w:rPr>
          <w:rFonts w:ascii="宋体" w:hAnsi="宋体"/>
          <w:sz w:val="24"/>
          <w:szCs w:val="24"/>
        </w:rPr>
        <w:t>已有</w:t>
      </w:r>
      <w:r>
        <w:rPr>
          <w:rFonts w:ascii="宋体" w:hAnsi="宋体"/>
          <w:sz w:val="24"/>
          <w:szCs w:val="24"/>
        </w:rPr>
        <w:t>12</w:t>
      </w:r>
      <w:r w:rsidRPr="00BB5E8D">
        <w:rPr>
          <w:rFonts w:ascii="宋体" w:hAnsi="宋体"/>
          <w:sz w:val="24"/>
          <w:szCs w:val="24"/>
        </w:rPr>
        <w:t>项生物制品（即治疗用生物制品）正在研发，部分项目已</w:t>
      </w:r>
      <w:r w:rsidRPr="00705E24">
        <w:rPr>
          <w:rFonts w:ascii="宋体" w:hAnsi="宋体" w:hint="eastAsia"/>
          <w:sz w:val="24"/>
          <w:szCs w:val="24"/>
        </w:rPr>
        <w:t>提交</w:t>
      </w:r>
      <w:r w:rsidRPr="00705E24">
        <w:rPr>
          <w:rFonts w:ascii="宋体" w:hAnsi="宋体"/>
          <w:sz w:val="24"/>
          <w:szCs w:val="24"/>
        </w:rPr>
        <w:t>NDA申请</w:t>
      </w:r>
      <w:r w:rsidRPr="00BB5E8D">
        <w:rPr>
          <w:rFonts w:ascii="宋体" w:hAnsi="宋体"/>
          <w:sz w:val="24"/>
          <w:szCs w:val="24"/>
        </w:rPr>
        <w:t>，覆盖肿瘤、血液疾病和骨质疏松等治疗领域；</w:t>
      </w:r>
      <w:r w:rsidRPr="000033DE">
        <w:rPr>
          <w:rFonts w:ascii="宋体" w:hAnsi="宋体" w:hint="eastAsia"/>
          <w:sz w:val="24"/>
          <w:szCs w:val="24"/>
        </w:rPr>
        <w:t>在疫苗（即预防用生物制品）领域，公司控股子公司浙江天元生物药业拥有流感病毒裂解疫苗（成人及儿童型）、</w:t>
      </w:r>
      <w:r w:rsidRPr="000033DE">
        <w:rPr>
          <w:rFonts w:ascii="宋体" w:hAnsi="宋体"/>
          <w:sz w:val="24"/>
          <w:szCs w:val="24"/>
        </w:rPr>
        <w:t>A群C群脑膜炎球菌多糖疫苗、ACYW135群脑膜炎球菌多糖疫苗4项疫苗产品，另有四价流感病毒裂解疫苗（鸡胚、成人型）即将上市、四价流感病毒裂解疫苗（MDCK细胞）、水痘减毒活疫苗、带状疱疹减毒活疫苗等产品正在研发。</w:t>
      </w:r>
    </w:p>
    <w:p w14:paraId="79DE2BC9"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（三）产融结合做强主业，培育公司新的增长点</w:t>
      </w:r>
    </w:p>
    <w:p w14:paraId="5B42BB3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公司积极寻觅市场上的优质投资机会，全力维系公司于主业范畴内的核心竞争力。同时，公司在充分保障日常经营现金流动性需求的前提下，秉持审慎态度并灵活施展资金调配策略。</w:t>
      </w:r>
    </w:p>
    <w:p w14:paraId="123550E0" w14:textId="3968923C" w:rsidR="0079182B" w:rsidRPr="00AB1054" w:rsidRDefault="0079182B" w:rsidP="0079182B">
      <w:pPr>
        <w:spacing w:line="360" w:lineRule="auto"/>
        <w:ind w:firstLineChars="200" w:firstLine="480"/>
        <w:jc w:val="left"/>
        <w:rPr>
          <w:rFonts w:ascii="宋体" w:hAnsi="宋体"/>
          <w:sz w:val="24"/>
          <w:szCs w:val="24"/>
        </w:rPr>
      </w:pPr>
      <w:r w:rsidRPr="00091EF5">
        <w:rPr>
          <w:rFonts w:ascii="宋体" w:hAnsi="宋体"/>
          <w:sz w:val="24"/>
          <w:szCs w:val="24"/>
        </w:rPr>
        <w:t>2025</w:t>
      </w:r>
      <w:r w:rsidRPr="00091EF5">
        <w:rPr>
          <w:rFonts w:ascii="宋体" w:hAnsi="宋体" w:hint="eastAsia"/>
          <w:sz w:val="24"/>
          <w:szCs w:val="24"/>
        </w:rPr>
        <w:t>年上半年</w:t>
      </w:r>
      <w:r w:rsidRPr="00091EF5">
        <w:rPr>
          <w:rFonts w:ascii="宋体" w:hAnsi="宋体"/>
          <w:sz w:val="24"/>
          <w:szCs w:val="24"/>
        </w:rPr>
        <w:t>，公司通过联合相关业务人员共同投资设立控股子公司，主要涉</w:t>
      </w:r>
      <w:r w:rsidRPr="00091EF5">
        <w:rPr>
          <w:rFonts w:ascii="宋体" w:hAnsi="宋体" w:hint="eastAsia"/>
          <w:sz w:val="24"/>
          <w:szCs w:val="24"/>
        </w:rPr>
        <w:t>及医疗器械销售、化妆品销售、消毒产品销售、保健用品销售、保健食品销售等业务；旨在优化股权投资风险管控机制，强化核心人员的风险共担与激励效应，推动经营者与所有者利益深度绑定，实现权责利统一，体现了公司通过多元化投资结构优化资源配置、激发团队能动性，并为长期可持续发展构建战略协同的布局思路。</w:t>
      </w:r>
    </w:p>
    <w:p w14:paraId="226C5C7F"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二、坚持科技创新，推动企业高质量发展</w:t>
      </w:r>
    </w:p>
    <w:p w14:paraId="322533AD"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将科技作为发展的永恒动力，坚持高、中、低和长、中、短为新产品研发战略，以院士为研发顾问团队，与国内外一流的研发团队有着广泛的合作，形成了“生产一代，储备一代，研制一代，构思一代”的良性循环研发模</w:t>
      </w:r>
      <w:r w:rsidRPr="00AB1054">
        <w:rPr>
          <w:rFonts w:ascii="宋体" w:hAnsi="宋体" w:hint="eastAsia"/>
          <w:sz w:val="24"/>
          <w:szCs w:val="24"/>
        </w:rPr>
        <w:lastRenderedPageBreak/>
        <w:t>式，在心脑血管药、抗肿瘤药、抗感染药、妇科药、消化系统药、降糖药等常见病和多发病治疗药物的研发方面储备了多层次、宽领域的在</w:t>
      </w:r>
      <w:proofErr w:type="gramStart"/>
      <w:r w:rsidRPr="00AB1054">
        <w:rPr>
          <w:rFonts w:ascii="宋体" w:hAnsi="宋体" w:hint="eastAsia"/>
          <w:sz w:val="24"/>
          <w:szCs w:val="24"/>
        </w:rPr>
        <w:t>研</w:t>
      </w:r>
      <w:proofErr w:type="gramEnd"/>
      <w:r w:rsidRPr="00AB1054">
        <w:rPr>
          <w:rFonts w:ascii="宋体" w:hAnsi="宋体" w:hint="eastAsia"/>
          <w:sz w:val="24"/>
          <w:szCs w:val="24"/>
        </w:rPr>
        <w:t>项目。</w:t>
      </w:r>
    </w:p>
    <w:p w14:paraId="583C4EE2"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截至</w:t>
      </w:r>
      <w:r w:rsidRPr="00AB1054">
        <w:rPr>
          <w:rFonts w:ascii="宋体" w:hAnsi="宋体"/>
          <w:sz w:val="24"/>
          <w:szCs w:val="24"/>
        </w:rPr>
        <w:t>2025年</w:t>
      </w:r>
      <w:r w:rsidRPr="00AB1054">
        <w:rPr>
          <w:rFonts w:ascii="宋体" w:hAnsi="宋体" w:hint="eastAsia"/>
          <w:sz w:val="24"/>
          <w:szCs w:val="24"/>
        </w:rPr>
        <w:t>6月3</w:t>
      </w:r>
      <w:r w:rsidRPr="00AB1054">
        <w:rPr>
          <w:rFonts w:ascii="宋体" w:hAnsi="宋体"/>
          <w:sz w:val="24"/>
          <w:szCs w:val="24"/>
        </w:rPr>
        <w:t>0</w:t>
      </w:r>
      <w:r w:rsidRPr="00AB1054">
        <w:rPr>
          <w:rFonts w:ascii="宋体" w:hAnsi="宋体" w:hint="eastAsia"/>
          <w:sz w:val="24"/>
          <w:szCs w:val="24"/>
        </w:rPr>
        <w:t>日</w:t>
      </w:r>
      <w:r w:rsidRPr="00AB1054">
        <w:rPr>
          <w:rFonts w:ascii="宋体" w:hAnsi="宋体"/>
          <w:sz w:val="24"/>
          <w:szCs w:val="24"/>
        </w:rPr>
        <w:t>，在中药、小分子化药和生物药作为研发重点的指引下，公</w:t>
      </w:r>
      <w:r w:rsidRPr="00AB1054">
        <w:rPr>
          <w:rFonts w:ascii="宋体" w:hAnsi="宋体" w:hint="eastAsia"/>
          <w:sz w:val="24"/>
          <w:szCs w:val="24"/>
        </w:rPr>
        <w:t>司拥有</w:t>
      </w:r>
      <w:r w:rsidRPr="00BC01BA">
        <w:rPr>
          <w:rFonts w:ascii="宋体" w:hAnsi="宋体" w:hint="eastAsia"/>
          <w:sz w:val="24"/>
          <w:szCs w:val="24"/>
        </w:rPr>
        <w:t>在</w:t>
      </w:r>
      <w:proofErr w:type="gramStart"/>
      <w:r w:rsidRPr="00BC01BA">
        <w:rPr>
          <w:rFonts w:ascii="宋体" w:hAnsi="宋体" w:hint="eastAsia"/>
          <w:sz w:val="24"/>
          <w:szCs w:val="24"/>
        </w:rPr>
        <w:t>研</w:t>
      </w:r>
      <w:proofErr w:type="gramEnd"/>
      <w:r w:rsidRPr="00BC01BA">
        <w:rPr>
          <w:rFonts w:ascii="宋体" w:hAnsi="宋体" w:hint="eastAsia"/>
          <w:sz w:val="24"/>
          <w:szCs w:val="24"/>
        </w:rPr>
        <w:t>产品2</w:t>
      </w:r>
      <w:r w:rsidRPr="00BC01BA">
        <w:rPr>
          <w:rFonts w:ascii="宋体" w:hAnsi="宋体"/>
          <w:sz w:val="24"/>
          <w:szCs w:val="24"/>
        </w:rPr>
        <w:t>09个。</w:t>
      </w:r>
      <w:r w:rsidRPr="00AB1054">
        <w:rPr>
          <w:rFonts w:ascii="宋体" w:hAnsi="宋体"/>
          <w:sz w:val="24"/>
          <w:szCs w:val="24"/>
        </w:rPr>
        <w:t>公司重视研究</w:t>
      </w:r>
      <w:r w:rsidRPr="00AB1054">
        <w:rPr>
          <w:rFonts w:ascii="宋体" w:hAnsi="宋体" w:hint="eastAsia"/>
          <w:sz w:val="24"/>
          <w:szCs w:val="24"/>
        </w:rPr>
        <w:t>成果及知识产权的保护工作，公司主导产品脑心通胶囊、稳心颗粒、丹红注射液、前列舒通胶囊、头痛宁胶囊、康妇炎胶囊、消乳散结胶囊、通脉降糖胶囊等均为独家品种。</w:t>
      </w:r>
      <w:r w:rsidRPr="00AB1054">
        <w:rPr>
          <w:rFonts w:ascii="宋体" w:hAnsi="宋体"/>
          <w:sz w:val="24"/>
          <w:szCs w:val="24"/>
        </w:rPr>
        <w:t>2025年</w:t>
      </w:r>
      <w:r w:rsidRPr="00AB1054">
        <w:rPr>
          <w:rFonts w:ascii="宋体" w:hAnsi="宋体" w:hint="eastAsia"/>
          <w:sz w:val="24"/>
          <w:szCs w:val="24"/>
        </w:rPr>
        <w:t>上半年，</w:t>
      </w:r>
      <w:r w:rsidRPr="00BC01BA">
        <w:rPr>
          <w:rFonts w:ascii="宋体" w:hAnsi="宋体"/>
          <w:sz w:val="24"/>
          <w:szCs w:val="24"/>
        </w:rPr>
        <w:t>公司新增专利申请17件，成功获得专利授权6件，其中发明专利申请6件，授权发明专利</w:t>
      </w:r>
      <w:r>
        <w:rPr>
          <w:rFonts w:ascii="宋体" w:hAnsi="宋体"/>
          <w:sz w:val="24"/>
          <w:szCs w:val="24"/>
        </w:rPr>
        <w:t>2</w:t>
      </w:r>
      <w:r w:rsidRPr="00BC01BA">
        <w:rPr>
          <w:rFonts w:ascii="宋体" w:hAnsi="宋体"/>
          <w:sz w:val="24"/>
          <w:szCs w:val="24"/>
        </w:rPr>
        <w:t>件。</w:t>
      </w:r>
    </w:p>
    <w:p w14:paraId="1CAB288B"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坚持以自主技术创新和合作研发、委托研发等多方式并举的研发模式，在自主技术创新的基础上，加大对新产品技术的研发投入、加强团队稳定性与人才培养工作、与优势医药研发企业和医药知名高校深度合作具体的工作成果如下：</w:t>
      </w:r>
    </w:p>
    <w:p w14:paraId="6D3F1A4F"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（一）提高研发投入力度，合理规划产品矩阵</w:t>
      </w:r>
    </w:p>
    <w:p w14:paraId="28E1434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研发始终秉持市场需求导向原则，凭借在行业内的领先地位与广泛营销网络，高效收集并精准把握市场需求动态。紧扣公司战略布局与市场实际诉求，锚定研发方向，迅速调配资金，壮大研发团队，升级专业设备，全速推动研发进程，持续提升企业核心竞争力。研发期间，公司密切追踪市场需求的变化，灵活调整研发方向与策略，全力提升研发的经济效益。</w:t>
      </w:r>
    </w:p>
    <w:p w14:paraId="64DF014A" w14:textId="77777777" w:rsidR="0079182B"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公司拥有众多在</w:t>
      </w:r>
      <w:proofErr w:type="gramStart"/>
      <w:r w:rsidRPr="00AB1054">
        <w:rPr>
          <w:rFonts w:ascii="宋体" w:hAnsi="宋体" w:hint="eastAsia"/>
          <w:sz w:val="24"/>
          <w:szCs w:val="24"/>
        </w:rPr>
        <w:t>研</w:t>
      </w:r>
      <w:proofErr w:type="gramEnd"/>
      <w:r w:rsidRPr="00AB1054">
        <w:rPr>
          <w:rFonts w:ascii="宋体" w:hAnsi="宋体" w:hint="eastAsia"/>
          <w:sz w:val="24"/>
          <w:szCs w:val="24"/>
        </w:rPr>
        <w:t>产品，覆盖心脑血管、妇科、糖尿病、恶性肿瘤、消化系统和呼吸系统等大病种治疗领域。公司已建立多层次、宽领域的在</w:t>
      </w:r>
      <w:proofErr w:type="gramStart"/>
      <w:r w:rsidRPr="00AB1054">
        <w:rPr>
          <w:rFonts w:ascii="宋体" w:hAnsi="宋体" w:hint="eastAsia"/>
          <w:sz w:val="24"/>
          <w:szCs w:val="24"/>
        </w:rPr>
        <w:t>研</w:t>
      </w:r>
      <w:proofErr w:type="gramEnd"/>
      <w:r w:rsidRPr="00AB1054">
        <w:rPr>
          <w:rFonts w:ascii="宋体" w:hAnsi="宋体" w:hint="eastAsia"/>
          <w:sz w:val="24"/>
          <w:szCs w:val="24"/>
        </w:rPr>
        <w:t>产品储备，构建了从临床前研究到新药证书审批的完整产品梯次，为公司的长远发展提供了核心支持。</w:t>
      </w:r>
    </w:p>
    <w:p w14:paraId="5A414F72" w14:textId="77777777" w:rsidR="0079182B" w:rsidRPr="00AB1054" w:rsidRDefault="0079182B" w:rsidP="0079182B">
      <w:pPr>
        <w:spacing w:line="360" w:lineRule="auto"/>
        <w:ind w:firstLineChars="200" w:firstLine="480"/>
        <w:jc w:val="left"/>
        <w:rPr>
          <w:rFonts w:ascii="宋体" w:hAnsi="宋体"/>
          <w:sz w:val="24"/>
          <w:szCs w:val="24"/>
        </w:rPr>
      </w:pPr>
      <w:r>
        <w:rPr>
          <w:rFonts w:ascii="宋体" w:hAnsi="宋体"/>
          <w:sz w:val="24"/>
          <w:szCs w:val="24"/>
        </w:rPr>
        <w:t>2025年</w:t>
      </w:r>
      <w:r>
        <w:rPr>
          <w:rFonts w:ascii="宋体" w:hAnsi="宋体" w:hint="eastAsia"/>
          <w:sz w:val="24"/>
          <w:szCs w:val="24"/>
        </w:rPr>
        <w:t>上半年，</w:t>
      </w:r>
      <w:r>
        <w:rPr>
          <w:rFonts w:ascii="宋体" w:hAnsi="宋体"/>
          <w:sz w:val="24"/>
          <w:szCs w:val="24"/>
        </w:rPr>
        <w:t>公司研发投入金额共计</w:t>
      </w:r>
      <w:r>
        <w:rPr>
          <w:rFonts w:ascii="宋体" w:hAnsi="宋体" w:hint="eastAsia"/>
          <w:sz w:val="24"/>
          <w:szCs w:val="24"/>
        </w:rPr>
        <w:t>22,629.00</w:t>
      </w:r>
      <w:r>
        <w:rPr>
          <w:rFonts w:ascii="宋体" w:hAnsi="宋体"/>
          <w:sz w:val="24"/>
          <w:szCs w:val="24"/>
        </w:rPr>
        <w:t>万元</w:t>
      </w:r>
      <w:r>
        <w:rPr>
          <w:rFonts w:ascii="宋体" w:hAnsi="宋体" w:hint="eastAsia"/>
          <w:sz w:val="24"/>
          <w:szCs w:val="24"/>
        </w:rPr>
        <w:t>。</w:t>
      </w:r>
      <w:r w:rsidRPr="000033DE">
        <w:rPr>
          <w:rFonts w:ascii="宋体" w:hAnsi="宋体" w:hint="eastAsia"/>
          <w:sz w:val="24"/>
          <w:szCs w:val="24"/>
        </w:rPr>
        <w:t>主要研发项目</w:t>
      </w:r>
      <w:r>
        <w:rPr>
          <w:rFonts w:ascii="宋体" w:hAnsi="宋体"/>
          <w:sz w:val="24"/>
          <w:szCs w:val="24"/>
        </w:rPr>
        <w:t>8</w:t>
      </w:r>
      <w:r w:rsidRPr="000033DE">
        <w:rPr>
          <w:rFonts w:ascii="宋体" w:hAnsi="宋体"/>
          <w:sz w:val="24"/>
          <w:szCs w:val="24"/>
        </w:rPr>
        <w:t>项，进展如下：中药补气通络颗粒已完成Ⅱ期临床试验，加工临床样品，</w:t>
      </w:r>
      <w:r>
        <w:rPr>
          <w:rFonts w:ascii="宋体" w:hAnsi="宋体"/>
          <w:sz w:val="24"/>
          <w:szCs w:val="24"/>
        </w:rPr>
        <w:t>III</w:t>
      </w:r>
      <w:r w:rsidRPr="000033DE">
        <w:rPr>
          <w:rFonts w:ascii="宋体" w:hAnsi="宋体"/>
          <w:sz w:val="24"/>
          <w:szCs w:val="24"/>
        </w:rPr>
        <w:t>期临床试验方案制定及与</w:t>
      </w:r>
      <w:r>
        <w:rPr>
          <w:rFonts w:ascii="宋体" w:hAnsi="宋体"/>
          <w:sz w:val="24"/>
          <w:szCs w:val="24"/>
        </w:rPr>
        <w:t>CDE</w:t>
      </w:r>
      <w:r w:rsidRPr="000033DE">
        <w:rPr>
          <w:rFonts w:ascii="宋体" w:hAnsi="宋体"/>
          <w:sz w:val="24"/>
          <w:szCs w:val="24"/>
        </w:rPr>
        <w:t>沟通交流中；化药</w:t>
      </w:r>
      <w:r>
        <w:rPr>
          <w:rFonts w:ascii="宋体" w:hAnsi="宋体"/>
          <w:sz w:val="24"/>
          <w:szCs w:val="24"/>
        </w:rPr>
        <w:t>AT2R</w:t>
      </w:r>
      <w:r w:rsidRPr="000033DE">
        <w:rPr>
          <w:rFonts w:ascii="宋体" w:hAnsi="宋体"/>
          <w:sz w:val="24"/>
          <w:szCs w:val="24"/>
        </w:rPr>
        <w:t>已完成</w:t>
      </w:r>
      <w:r>
        <w:rPr>
          <w:rFonts w:ascii="宋体" w:hAnsi="宋体"/>
          <w:sz w:val="24"/>
          <w:szCs w:val="24"/>
        </w:rPr>
        <w:t>I</w:t>
      </w:r>
      <w:r w:rsidRPr="000033DE">
        <w:rPr>
          <w:rFonts w:ascii="宋体" w:hAnsi="宋体"/>
          <w:sz w:val="24"/>
          <w:szCs w:val="24"/>
        </w:rPr>
        <w:t>期临床试验，评估</w:t>
      </w:r>
      <w:r>
        <w:rPr>
          <w:rFonts w:ascii="宋体" w:hAnsi="宋体"/>
          <w:sz w:val="24"/>
          <w:szCs w:val="24"/>
        </w:rPr>
        <w:t>I</w:t>
      </w:r>
      <w:r w:rsidRPr="000033DE">
        <w:rPr>
          <w:rFonts w:ascii="宋体" w:hAnsi="宋体"/>
          <w:sz w:val="24"/>
          <w:szCs w:val="24"/>
        </w:rPr>
        <w:t>期临床试验，准备开展</w:t>
      </w:r>
      <w:r>
        <w:rPr>
          <w:rFonts w:ascii="宋体" w:hAnsi="宋体"/>
          <w:sz w:val="24"/>
          <w:szCs w:val="24"/>
        </w:rPr>
        <w:t>II</w:t>
      </w:r>
      <w:r w:rsidRPr="000033DE">
        <w:rPr>
          <w:rFonts w:ascii="宋体" w:hAnsi="宋体"/>
          <w:sz w:val="24"/>
          <w:szCs w:val="24"/>
        </w:rPr>
        <w:t>期临床试验；生物药BC002已提交上市申请，其他生物药EPO、PTH等5个生物制品项目正在研发，部分已进入</w:t>
      </w:r>
      <w:r>
        <w:rPr>
          <w:rFonts w:ascii="宋体" w:hAnsi="宋体"/>
          <w:sz w:val="24"/>
          <w:szCs w:val="24"/>
        </w:rPr>
        <w:t>NDA</w:t>
      </w:r>
      <w:r w:rsidRPr="000033DE">
        <w:rPr>
          <w:rFonts w:ascii="宋体" w:hAnsi="宋体"/>
          <w:sz w:val="24"/>
          <w:szCs w:val="24"/>
        </w:rPr>
        <w:t>申请阶段。</w:t>
      </w:r>
    </w:p>
    <w:p w14:paraId="1691A0E8"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（二）优化人才激励制度，激发科研团队活力</w:t>
      </w:r>
    </w:p>
    <w:p w14:paraId="6BD6AB9C"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公司已建立了多种人才引进渠道，形成了有效的人才培训、激励机制。公司坚持多层次多方面引进国内外优秀专业人才，为公司未来发展储备了宝贵的</w:t>
      </w:r>
      <w:r w:rsidRPr="00AB1054">
        <w:rPr>
          <w:rFonts w:ascii="宋体" w:hAnsi="宋体" w:hint="eastAsia"/>
          <w:sz w:val="24"/>
          <w:szCs w:val="24"/>
        </w:rPr>
        <w:lastRenderedPageBreak/>
        <w:t>人力资源。</w:t>
      </w: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，公司不断加强高质量研发人才团队建设，持续吸引优秀的技术</w:t>
      </w:r>
      <w:r w:rsidRPr="00AB1054">
        <w:rPr>
          <w:rFonts w:ascii="宋体" w:hAnsi="宋体" w:hint="eastAsia"/>
          <w:sz w:val="24"/>
          <w:szCs w:val="24"/>
        </w:rPr>
        <w:t>人员加入，打造高质量的研发人才团队，以支持公司在医药领域的不断创新。公司在福利待遇、工作环境等方面向专业技术人才倾斜，制定了相关科技进步奖励措施，鼓励技术创新。此外，公司重视核心技术人才的再培养，为其提供不定期进修培训机会，及时了解国际国内最新科技动态，持续提高创新动力及能力。</w:t>
      </w:r>
    </w:p>
    <w:p w14:paraId="25827CE1"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（三）强化产学研合作，增强技术研发能力</w:t>
      </w:r>
    </w:p>
    <w:p w14:paraId="2ED5A7FF" w14:textId="63C388D1"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，公司在已有的研究平台基础上，推进生物制药研发机构和药物中</w:t>
      </w:r>
      <w:r w:rsidRPr="00AB1054">
        <w:rPr>
          <w:rFonts w:ascii="宋体" w:hAnsi="宋体" w:hint="eastAsia"/>
          <w:sz w:val="24"/>
          <w:szCs w:val="24"/>
        </w:rPr>
        <w:t>试基地建设，进一步加强各研发平台与新药品种的紧密结合，增强研发技术通用性，缩短新药研发周期、降低研发风险。同时，公司加强与中国中医科学院、中国人民解放军空军军医大学、中国药科大学、北京中医药大学、天津中医药大学等科研机构及专业高校的合作与交流，力求充分整合医药研发资源，筑牢产学研协同联动机制，扎实推进教育、科技与人才的深度融合，实现一体化发展格局。</w:t>
      </w:r>
    </w:p>
    <w:p w14:paraId="559A9CC1"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三、加强财务管理，优化经营质量与效率</w:t>
      </w:r>
    </w:p>
    <w:p w14:paraId="277C7E05"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（一）完善业务与客户结构，提高盈利质量</w:t>
      </w:r>
    </w:p>
    <w:p w14:paraId="6DFB3A7D"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公司当前以中药产品作为业务核心，同时在化药、生物药以及疫苗领域，部分产品已逐步迈入规模化生产阶段，成为公司营业收入中稳健可靠的增长支撑。</w:t>
      </w: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，公司持续发力，进一步强化对现有产品的二次研发工作，旨在稳固并</w:t>
      </w:r>
      <w:r w:rsidRPr="00AB1054">
        <w:rPr>
          <w:rFonts w:ascii="宋体" w:hAnsi="宋体" w:hint="eastAsia"/>
          <w:sz w:val="24"/>
          <w:szCs w:val="24"/>
        </w:rPr>
        <w:t>提升市场占有率，巩固行业领先地位。并且，公司全力加快在生物药、疫苗领域的产业布局步伐，积极探寻为公司业务拓展注入全新活力的增长点。</w:t>
      </w:r>
    </w:p>
    <w:p w14:paraId="59FFC1D9"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（二）关注现金</w:t>
      </w:r>
      <w:proofErr w:type="gramStart"/>
      <w:r w:rsidRPr="00AB1054">
        <w:rPr>
          <w:rFonts w:ascii="宋体" w:hAnsi="宋体" w:hint="eastAsia"/>
          <w:b/>
          <w:sz w:val="24"/>
          <w:szCs w:val="24"/>
        </w:rPr>
        <w:t>流健康度</w:t>
      </w:r>
      <w:proofErr w:type="gramEnd"/>
      <w:r w:rsidRPr="00AB1054">
        <w:rPr>
          <w:rFonts w:ascii="宋体" w:hAnsi="宋体" w:hint="eastAsia"/>
          <w:b/>
          <w:sz w:val="24"/>
          <w:szCs w:val="24"/>
        </w:rPr>
        <w:t>，保证经营效率</w:t>
      </w:r>
    </w:p>
    <w:p w14:paraId="43BC862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，公司高度聚焦经营性现金流的健康状况，多管齐下加速应收账款</w:t>
      </w:r>
      <w:r w:rsidRPr="00AB1054">
        <w:rPr>
          <w:rFonts w:ascii="宋体" w:hAnsi="宋体" w:hint="eastAsia"/>
          <w:sz w:val="24"/>
          <w:szCs w:val="24"/>
        </w:rPr>
        <w:t>的回收进程，同时强化库存商品管理。在严守安全与合</w:t>
      </w:r>
      <w:proofErr w:type="gramStart"/>
      <w:r w:rsidRPr="00AB1054">
        <w:rPr>
          <w:rFonts w:ascii="宋体" w:hAnsi="宋体" w:hint="eastAsia"/>
          <w:sz w:val="24"/>
          <w:szCs w:val="24"/>
        </w:rPr>
        <w:t>规</w:t>
      </w:r>
      <w:proofErr w:type="gramEnd"/>
      <w:r w:rsidRPr="00AB1054">
        <w:rPr>
          <w:rFonts w:ascii="宋体" w:hAnsi="宋体" w:hint="eastAsia"/>
          <w:sz w:val="24"/>
          <w:szCs w:val="24"/>
        </w:rPr>
        <w:t>底线的基础上，充分挖掘资金潜力，全方位提升资金使用效能，持续优化经营性现金流状况。同时，公司积极推进供应链管理的优化工作，对各类产品的市场销售、生产及订单交付情况展开实时动态监测。在确保快速响应客户订单、及时满足客户需求的同时，精准调控库存，实现库存资源的合理配置，维持存货水平处于科学合理区间。</w:t>
      </w:r>
    </w:p>
    <w:p w14:paraId="3273B50D"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lastRenderedPageBreak/>
        <w:t>（三）聚焦存量资金使用，优化资金使用效率</w:t>
      </w:r>
    </w:p>
    <w:p w14:paraId="35F9E259" w14:textId="34BE6740"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为全方位提升资金使用效率，让自有资金得到合理配置与充分利用，在确保日常生产经营活动不受影响的前提下</w:t>
      </w:r>
      <w:r>
        <w:rPr>
          <w:rFonts w:ascii="宋体" w:hAnsi="宋体" w:hint="eastAsia"/>
          <w:sz w:val="24"/>
          <w:szCs w:val="24"/>
        </w:rPr>
        <w:t>，</w:t>
      </w:r>
      <w:r w:rsidRPr="00AB1054">
        <w:rPr>
          <w:rFonts w:ascii="宋体" w:hAnsi="宋体" w:hint="eastAsia"/>
          <w:sz w:val="24"/>
          <w:szCs w:val="24"/>
        </w:rPr>
        <w:t>公司审慎规划，将自有资金用于购买理财产品，以此增加资金收益，提升公司整体财务效益。</w:t>
      </w:r>
    </w:p>
    <w:p w14:paraId="4E6D41C7"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四、完善治理结构，增强“关键少数”责任意识</w:t>
      </w:r>
    </w:p>
    <w:p w14:paraId="50815A24" w14:textId="52D3DC3F"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公司高度重视公司治理结构的健全和内部控制体系的有效性，为进一步优化公司治理，保证公司的高效、稳健及规范经营，已经建立由股东会、董事会</w:t>
      </w:r>
      <w:r>
        <w:rPr>
          <w:rFonts w:ascii="宋体" w:hAnsi="宋体" w:hint="eastAsia"/>
          <w:sz w:val="24"/>
          <w:szCs w:val="24"/>
        </w:rPr>
        <w:t>及其专门委员会</w:t>
      </w:r>
      <w:r w:rsidRPr="00AB1054">
        <w:rPr>
          <w:rFonts w:ascii="宋体" w:hAnsi="宋体" w:hint="eastAsia"/>
          <w:sz w:val="24"/>
          <w:szCs w:val="24"/>
        </w:rPr>
        <w:t>、监事会和执行机构组成的公司治理结构，形成了权力机构、决策机构、监督机构和执行机构之间权责明确、运作规范的相互协调和相互制衡的机制。</w:t>
      </w:r>
      <w:r w:rsidRPr="00C427C4">
        <w:rPr>
          <w:rFonts w:ascii="宋体" w:hAnsi="宋体"/>
          <w:sz w:val="24"/>
          <w:szCs w:val="24"/>
        </w:rPr>
        <w:t>2025年</w:t>
      </w:r>
      <w:r w:rsidRPr="00C427C4">
        <w:rPr>
          <w:rFonts w:ascii="宋体" w:hAnsi="宋体" w:hint="eastAsia"/>
          <w:sz w:val="24"/>
          <w:szCs w:val="24"/>
        </w:rPr>
        <w:t>上半年</w:t>
      </w:r>
      <w:r w:rsidRPr="00C427C4">
        <w:rPr>
          <w:rFonts w:ascii="宋体" w:hAnsi="宋体"/>
          <w:sz w:val="24"/>
          <w:szCs w:val="24"/>
        </w:rPr>
        <w:t>，</w:t>
      </w:r>
      <w:r w:rsidRPr="00C427C4">
        <w:rPr>
          <w:rFonts w:ascii="宋体" w:hAnsi="宋体" w:hint="eastAsia"/>
          <w:sz w:val="24"/>
          <w:szCs w:val="24"/>
        </w:rPr>
        <w:t>公司共召开股东会</w:t>
      </w:r>
      <w:r>
        <w:rPr>
          <w:rFonts w:ascii="宋体" w:hAnsi="宋体"/>
          <w:sz w:val="24"/>
          <w:szCs w:val="24"/>
        </w:rPr>
        <w:t>1</w:t>
      </w:r>
      <w:r w:rsidRPr="00C427C4">
        <w:rPr>
          <w:rFonts w:ascii="宋体" w:hAnsi="宋体"/>
          <w:sz w:val="24"/>
          <w:szCs w:val="24"/>
        </w:rPr>
        <w:t>次，董事会15次，监事会3次。董事会下设专门委员会召</w:t>
      </w:r>
      <w:r w:rsidRPr="00C427C4">
        <w:rPr>
          <w:rFonts w:ascii="宋体" w:hAnsi="宋体" w:hint="eastAsia"/>
          <w:sz w:val="24"/>
          <w:szCs w:val="24"/>
        </w:rPr>
        <w:t>开情况：审计委员会共召开2</w:t>
      </w:r>
      <w:r w:rsidRPr="00C427C4">
        <w:rPr>
          <w:rFonts w:ascii="宋体" w:hAnsi="宋体"/>
          <w:sz w:val="24"/>
          <w:szCs w:val="24"/>
        </w:rPr>
        <w:t>次，提名委员会共召开</w:t>
      </w:r>
      <w:r w:rsidRPr="00C427C4">
        <w:rPr>
          <w:rFonts w:ascii="宋体" w:hAnsi="宋体" w:hint="eastAsia"/>
          <w:sz w:val="24"/>
          <w:szCs w:val="24"/>
        </w:rPr>
        <w:t>2</w:t>
      </w:r>
      <w:r w:rsidRPr="00C427C4">
        <w:rPr>
          <w:rFonts w:ascii="宋体" w:hAnsi="宋体"/>
          <w:sz w:val="24"/>
          <w:szCs w:val="24"/>
        </w:rPr>
        <w:t>次，薪酬与考核委员会共</w:t>
      </w:r>
      <w:r w:rsidRPr="00C427C4">
        <w:rPr>
          <w:rFonts w:ascii="宋体" w:hAnsi="宋体" w:hint="eastAsia"/>
          <w:sz w:val="24"/>
          <w:szCs w:val="24"/>
        </w:rPr>
        <w:t>召开</w:t>
      </w:r>
      <w:r w:rsidRPr="00C427C4">
        <w:rPr>
          <w:rFonts w:ascii="宋体" w:hAnsi="宋体"/>
          <w:sz w:val="24"/>
          <w:szCs w:val="24"/>
        </w:rPr>
        <w:t>2次，战略与投资委员会共召开</w:t>
      </w:r>
      <w:r w:rsidRPr="00C427C4">
        <w:rPr>
          <w:rFonts w:ascii="宋体" w:hAnsi="宋体" w:hint="eastAsia"/>
          <w:sz w:val="24"/>
          <w:szCs w:val="24"/>
        </w:rPr>
        <w:t>1</w:t>
      </w:r>
      <w:r w:rsidRPr="00C427C4">
        <w:rPr>
          <w:rFonts w:ascii="宋体" w:hAnsi="宋体"/>
          <w:sz w:val="24"/>
          <w:szCs w:val="24"/>
        </w:rPr>
        <w:t>8次。独立董事专门会议共召开2次。</w:t>
      </w:r>
    </w:p>
    <w:p w14:paraId="0D6BF1AB"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公司亦在积极推进内部制度体系的建立健全。</w:t>
      </w: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，公司制定了《山东</w:t>
      </w:r>
      <w:r w:rsidRPr="00AB1054">
        <w:rPr>
          <w:rFonts w:ascii="宋体" w:hAnsi="宋体" w:hint="eastAsia"/>
          <w:sz w:val="24"/>
          <w:szCs w:val="24"/>
        </w:rPr>
        <w:t>步长制药股份有限公司舆情管理制度》及修订了《山东步长制药股份有限公司章程》《山东步长制药股份有限公司总裁工作细则》《山东步长制药股份有限公司高级管理人员薪酬与考核管理办法》等制度。</w:t>
      </w:r>
    </w:p>
    <w:p w14:paraId="0122F7C1"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在治理实践层面，</w:t>
      </w: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公司治理方面的工作成果如下：</w:t>
      </w:r>
    </w:p>
    <w:p w14:paraId="3587574B"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（一）落实独立董事制度改革，发挥独立董事监督作用</w:t>
      </w:r>
    </w:p>
    <w:p w14:paraId="242CAA3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公司为独立董事履行职责提供必要的工作条件和人员支持，指定专门人员协助独立董事履行职责。在</w:t>
      </w: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工作中，独立董事诚实、勤勉、独立地履行</w:t>
      </w:r>
      <w:r w:rsidRPr="00AB1054">
        <w:rPr>
          <w:rFonts w:ascii="宋体" w:hAnsi="宋体" w:hint="eastAsia"/>
          <w:sz w:val="24"/>
          <w:szCs w:val="24"/>
        </w:rPr>
        <w:t>职责，积极出席公司相关会议，认真审议会议议案，并对公司相关工作情况进行实地考察，对相关人员进行现场访谈交流，了解公司生产经营状况；对公司财务报表、审计报告、内部控制评价报告等进行审阅，了解公司财务运行状况；对公司内部控制制度进行调阅，考察公司各项制度的制定及完善情况等。充分发挥独立董事作用，维护了公司整体利益和股东权益。</w:t>
      </w:r>
    </w:p>
    <w:p w14:paraId="608B00B5"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（二）优化内部控制体系，提高规范运作水平</w:t>
      </w:r>
    </w:p>
    <w:p w14:paraId="4FA6FBD7"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，公司持续关注法律法规与监管政策的动态变化，同步开展对相关</w:t>
      </w:r>
      <w:r w:rsidRPr="00AB1054">
        <w:rPr>
          <w:rFonts w:ascii="宋体" w:hAnsi="宋体" w:hint="eastAsia"/>
          <w:sz w:val="24"/>
          <w:szCs w:val="24"/>
        </w:rPr>
        <w:t>法律法规的研究与学习工作。一方面，确保董事会</w:t>
      </w:r>
      <w:r>
        <w:rPr>
          <w:rFonts w:ascii="宋体" w:hAnsi="宋体" w:hint="eastAsia"/>
          <w:sz w:val="24"/>
          <w:szCs w:val="24"/>
        </w:rPr>
        <w:t>及其专门委员会、</w:t>
      </w:r>
      <w:r w:rsidRPr="00AB1054">
        <w:rPr>
          <w:rFonts w:ascii="宋体" w:hAnsi="宋体" w:hint="eastAsia"/>
          <w:sz w:val="24"/>
          <w:szCs w:val="24"/>
        </w:rPr>
        <w:t>监事会以及股东会的运作与召开，始终严格遵循有关规定；另一方面，保障各职</w:t>
      </w:r>
      <w:r w:rsidRPr="00AB1054">
        <w:rPr>
          <w:rFonts w:ascii="宋体" w:hAnsi="宋体" w:hint="eastAsia"/>
          <w:sz w:val="24"/>
          <w:szCs w:val="24"/>
        </w:rPr>
        <w:lastRenderedPageBreak/>
        <w:t>能部门切实有效地发挥其应有的功能作用，推动组织实现高效运营，助力各项既定目标达成，进而为公司迈向高质量发展贡献力量。</w:t>
      </w:r>
    </w:p>
    <w:p w14:paraId="54184A03"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（三）加强董</w:t>
      </w:r>
      <w:proofErr w:type="gramStart"/>
      <w:r w:rsidRPr="00AB1054">
        <w:rPr>
          <w:rFonts w:ascii="宋体" w:hAnsi="宋体" w:hint="eastAsia"/>
          <w:b/>
          <w:sz w:val="24"/>
          <w:szCs w:val="24"/>
        </w:rPr>
        <w:t>监高合规</w:t>
      </w:r>
      <w:proofErr w:type="gramEnd"/>
      <w:r w:rsidRPr="00AB1054">
        <w:rPr>
          <w:rFonts w:ascii="宋体" w:hAnsi="宋体" w:hint="eastAsia"/>
          <w:b/>
          <w:sz w:val="24"/>
          <w:szCs w:val="24"/>
        </w:rPr>
        <w:t>培训，助力关键少数履职</w:t>
      </w:r>
    </w:p>
    <w:p w14:paraId="12A841A8" w14:textId="19370AAC"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公司高度重视控股股东、董事、监事以及高级管理人员等“关键少数”的职责履行和风险防控。</w:t>
      </w:r>
      <w:r w:rsidRPr="004841AE">
        <w:rPr>
          <w:rFonts w:ascii="宋体" w:hAnsi="宋体" w:hint="eastAsia"/>
          <w:sz w:val="24"/>
          <w:szCs w:val="24"/>
        </w:rPr>
        <w:t>公司董</w:t>
      </w:r>
      <w:proofErr w:type="gramStart"/>
      <w:r w:rsidRPr="004841AE">
        <w:rPr>
          <w:rFonts w:ascii="宋体" w:hAnsi="宋体" w:hint="eastAsia"/>
          <w:sz w:val="24"/>
          <w:szCs w:val="24"/>
        </w:rPr>
        <w:t>监高按照</w:t>
      </w:r>
      <w:proofErr w:type="gramEnd"/>
      <w:r w:rsidRPr="004841AE">
        <w:rPr>
          <w:rFonts w:ascii="宋体" w:hAnsi="宋体" w:hint="eastAsia"/>
          <w:sz w:val="24"/>
          <w:szCs w:val="24"/>
        </w:rPr>
        <w:t>证监会、上交所和上市公司协会安排，相关人员参加了</w:t>
      </w:r>
      <w:r w:rsidRPr="001D30A5">
        <w:rPr>
          <w:rFonts w:ascii="宋体" w:hAnsi="宋体" w:hint="eastAsia"/>
          <w:sz w:val="24"/>
          <w:szCs w:val="24"/>
        </w:rPr>
        <w:t>山东上市公司协会“山东辖区上市公司</w:t>
      </w:r>
      <w:r w:rsidRPr="001D30A5">
        <w:rPr>
          <w:rFonts w:ascii="宋体" w:hAnsi="宋体"/>
          <w:sz w:val="24"/>
          <w:szCs w:val="24"/>
        </w:rPr>
        <w:t>2025年第一期董事、监事、高</w:t>
      </w:r>
      <w:r>
        <w:rPr>
          <w:rFonts w:ascii="宋体" w:hAnsi="宋体" w:hint="eastAsia"/>
          <w:sz w:val="24"/>
          <w:szCs w:val="24"/>
        </w:rPr>
        <w:t>管</w:t>
      </w:r>
      <w:r w:rsidRPr="001D30A5">
        <w:rPr>
          <w:rFonts w:ascii="宋体" w:hAnsi="宋体"/>
          <w:sz w:val="24"/>
          <w:szCs w:val="24"/>
        </w:rPr>
        <w:t>培训”、“上市公司并购重组最新监管规定专题培训”，上交所“2025年上市公司董事、监事和高管合</w:t>
      </w:r>
      <w:proofErr w:type="gramStart"/>
      <w:r w:rsidRPr="001D30A5">
        <w:rPr>
          <w:rFonts w:ascii="宋体" w:hAnsi="宋体"/>
          <w:sz w:val="24"/>
          <w:szCs w:val="24"/>
        </w:rPr>
        <w:t>规</w:t>
      </w:r>
      <w:proofErr w:type="gramEnd"/>
      <w:r w:rsidRPr="001D30A5">
        <w:rPr>
          <w:rFonts w:ascii="宋体" w:hAnsi="宋体"/>
          <w:sz w:val="24"/>
          <w:szCs w:val="24"/>
        </w:rPr>
        <w:t>履职培训”、“2025年上市公司关键少数信息披露规范运作专题培训”</w:t>
      </w:r>
      <w:r>
        <w:rPr>
          <w:rFonts w:ascii="宋体" w:hAnsi="宋体" w:hint="eastAsia"/>
          <w:sz w:val="24"/>
          <w:szCs w:val="24"/>
        </w:rPr>
        <w:t>，</w:t>
      </w:r>
      <w:r w:rsidRPr="001D30A5">
        <w:rPr>
          <w:rFonts w:ascii="宋体" w:hAnsi="宋体" w:hint="eastAsia"/>
          <w:sz w:val="24"/>
          <w:szCs w:val="24"/>
        </w:rPr>
        <w:t>强化“关键少数”人员合</w:t>
      </w:r>
      <w:proofErr w:type="gramStart"/>
      <w:r w:rsidRPr="001D30A5">
        <w:rPr>
          <w:rFonts w:ascii="宋体" w:hAnsi="宋体" w:hint="eastAsia"/>
          <w:sz w:val="24"/>
          <w:szCs w:val="24"/>
        </w:rPr>
        <w:t>规</w:t>
      </w:r>
      <w:proofErr w:type="gramEnd"/>
      <w:r w:rsidRPr="001D30A5">
        <w:rPr>
          <w:rFonts w:ascii="宋体" w:hAnsi="宋体" w:hint="eastAsia"/>
          <w:sz w:val="24"/>
          <w:szCs w:val="24"/>
        </w:rPr>
        <w:t>意识。</w:t>
      </w:r>
      <w:r w:rsidRPr="00AB1054">
        <w:rPr>
          <w:rFonts w:ascii="宋体" w:hAnsi="宋体" w:hint="eastAsia"/>
          <w:sz w:val="24"/>
          <w:szCs w:val="24"/>
        </w:rPr>
        <w:t>公司也将持续完善公司治理能力建设和内部控制制度，保证</w:t>
      </w:r>
      <w:proofErr w:type="gramStart"/>
      <w:r w:rsidRPr="00AB1054">
        <w:rPr>
          <w:rFonts w:ascii="宋体" w:hAnsi="宋体" w:hint="eastAsia"/>
          <w:sz w:val="24"/>
          <w:szCs w:val="24"/>
        </w:rPr>
        <w:t>董监高专业</w:t>
      </w:r>
      <w:proofErr w:type="gramEnd"/>
      <w:r w:rsidRPr="00AB1054">
        <w:rPr>
          <w:rFonts w:ascii="宋体" w:hAnsi="宋体" w:hint="eastAsia"/>
          <w:sz w:val="24"/>
          <w:szCs w:val="24"/>
        </w:rPr>
        <w:t>素养与合</w:t>
      </w:r>
      <w:proofErr w:type="gramStart"/>
      <w:r w:rsidRPr="00AB1054">
        <w:rPr>
          <w:rFonts w:ascii="宋体" w:hAnsi="宋体" w:hint="eastAsia"/>
          <w:sz w:val="24"/>
          <w:szCs w:val="24"/>
        </w:rPr>
        <w:t>规</w:t>
      </w:r>
      <w:proofErr w:type="gramEnd"/>
      <w:r w:rsidRPr="00AB1054">
        <w:rPr>
          <w:rFonts w:ascii="宋体" w:hAnsi="宋体" w:hint="eastAsia"/>
          <w:sz w:val="24"/>
          <w:szCs w:val="24"/>
        </w:rPr>
        <w:t>意识进一步提升，推动公司持续规范运作。</w:t>
      </w:r>
    </w:p>
    <w:p w14:paraId="5BEB78DC"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五、强化信息披露质量，构建长期有效投资者沟通渠道</w:t>
      </w:r>
    </w:p>
    <w:p w14:paraId="73887DEA"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严格按照《证券法》《上海证券交易所股票上市规则》《上市公司信息披露管理办法》等规范性文件的有关要求，严格履行信息披露义务，保证披露信息的真实、准确、完整，信息披露及时、公平，并不断提升信息披露的易读性、有效性，便利投资者了解公司经营情况，增强公司信息透明度。</w:t>
      </w:r>
    </w:p>
    <w:p w14:paraId="56536CB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，披露临时公告</w:t>
      </w:r>
      <w:r w:rsidRPr="00AB1054">
        <w:rPr>
          <w:rFonts w:ascii="宋体" w:hAnsi="宋体" w:hint="eastAsia"/>
          <w:sz w:val="24"/>
          <w:szCs w:val="24"/>
        </w:rPr>
        <w:t>1</w:t>
      </w:r>
      <w:r w:rsidRPr="00AB1054">
        <w:rPr>
          <w:rFonts w:ascii="宋体" w:hAnsi="宋体"/>
          <w:sz w:val="24"/>
          <w:szCs w:val="24"/>
        </w:rPr>
        <w:t>25份、定期报告</w:t>
      </w:r>
      <w:r w:rsidRPr="00AB1054">
        <w:rPr>
          <w:rFonts w:ascii="宋体" w:hAnsi="宋体" w:hint="eastAsia"/>
          <w:sz w:val="24"/>
          <w:szCs w:val="24"/>
        </w:rPr>
        <w:t>2</w:t>
      </w:r>
      <w:r w:rsidRPr="00AB1054">
        <w:rPr>
          <w:rFonts w:ascii="宋体" w:hAnsi="宋体"/>
          <w:sz w:val="24"/>
          <w:szCs w:val="24"/>
        </w:rPr>
        <w:t>份；举办业绩说明会</w:t>
      </w:r>
      <w:r w:rsidRPr="00AB1054">
        <w:rPr>
          <w:rFonts w:ascii="宋体" w:hAnsi="宋体" w:hint="eastAsia"/>
          <w:sz w:val="24"/>
          <w:szCs w:val="24"/>
        </w:rPr>
        <w:t>1</w:t>
      </w:r>
      <w:r w:rsidRPr="00AB1054">
        <w:rPr>
          <w:rFonts w:ascii="宋体" w:hAnsi="宋体"/>
          <w:sz w:val="24"/>
          <w:szCs w:val="24"/>
        </w:rPr>
        <w:t>次，</w:t>
      </w:r>
      <w:r>
        <w:rPr>
          <w:rFonts w:ascii="宋体" w:hAnsi="宋体" w:hint="eastAsia"/>
          <w:sz w:val="24"/>
          <w:szCs w:val="24"/>
        </w:rPr>
        <w:t>参与了</w:t>
      </w:r>
      <w:r w:rsidRPr="00125B96">
        <w:rPr>
          <w:rFonts w:ascii="宋体" w:hAnsi="宋体" w:hint="eastAsia"/>
          <w:sz w:val="24"/>
          <w:szCs w:val="24"/>
        </w:rPr>
        <w:t>山东上市公司协会“</w:t>
      </w:r>
      <w:r w:rsidRPr="00125B96">
        <w:rPr>
          <w:rFonts w:ascii="宋体" w:hAnsi="宋体"/>
          <w:sz w:val="24"/>
          <w:szCs w:val="24"/>
        </w:rPr>
        <w:t>2025年山东辖区上市公司投资者网上集体接待日活动”</w:t>
      </w:r>
      <w:r>
        <w:rPr>
          <w:rFonts w:ascii="宋体" w:hAnsi="宋体" w:hint="eastAsia"/>
          <w:sz w:val="24"/>
          <w:szCs w:val="24"/>
        </w:rPr>
        <w:t>、</w:t>
      </w:r>
      <w:r w:rsidRPr="00125B96">
        <w:rPr>
          <w:rFonts w:ascii="宋体" w:hAnsi="宋体"/>
          <w:sz w:val="24"/>
          <w:szCs w:val="24"/>
        </w:rPr>
        <w:t>山东监管局“2025年3</w:t>
      </w:r>
      <w:r>
        <w:rPr>
          <w:rFonts w:ascii="宋体" w:hAnsi="宋体"/>
          <w:sz w:val="24"/>
          <w:szCs w:val="24"/>
        </w:rPr>
        <w:t>.</w:t>
      </w:r>
      <w:r w:rsidRPr="00125B96">
        <w:rPr>
          <w:rFonts w:ascii="宋体" w:hAnsi="宋体"/>
          <w:sz w:val="24"/>
          <w:szCs w:val="24"/>
        </w:rPr>
        <w:t>15投资者保护教育宣传专项活动”</w:t>
      </w:r>
      <w:r>
        <w:rPr>
          <w:rFonts w:ascii="宋体" w:hAnsi="宋体" w:hint="eastAsia"/>
          <w:sz w:val="24"/>
          <w:szCs w:val="24"/>
        </w:rPr>
        <w:t>、“</w:t>
      </w:r>
      <w:r w:rsidRPr="00125B96">
        <w:rPr>
          <w:rFonts w:ascii="宋体" w:hAnsi="宋体"/>
          <w:sz w:val="24"/>
          <w:szCs w:val="24"/>
        </w:rPr>
        <w:t>2025年5</w:t>
      </w:r>
      <w:r>
        <w:rPr>
          <w:rFonts w:ascii="宋体" w:hAnsi="宋体" w:hint="eastAsia"/>
          <w:sz w:val="24"/>
          <w:szCs w:val="24"/>
        </w:rPr>
        <w:t>.</w:t>
      </w:r>
      <w:r w:rsidRPr="00125B96">
        <w:rPr>
          <w:rFonts w:ascii="宋体" w:hAnsi="宋体"/>
          <w:sz w:val="24"/>
          <w:szCs w:val="24"/>
        </w:rPr>
        <w:t>15全国投资者保护宣传日活动</w:t>
      </w:r>
      <w:r>
        <w:rPr>
          <w:rFonts w:ascii="宋体" w:hAnsi="宋体" w:hint="eastAsia"/>
          <w:sz w:val="24"/>
          <w:szCs w:val="24"/>
        </w:rPr>
        <w:t>”等三项专项活动。</w:t>
      </w:r>
      <w:r w:rsidRPr="00AB1054">
        <w:rPr>
          <w:rFonts w:ascii="宋体" w:hAnsi="宋体"/>
          <w:sz w:val="24"/>
          <w:szCs w:val="24"/>
        </w:rPr>
        <w:t>答复上证</w:t>
      </w:r>
      <w:r>
        <w:rPr>
          <w:rFonts w:ascii="宋体" w:hAnsi="宋体"/>
          <w:sz w:val="24"/>
          <w:szCs w:val="24"/>
        </w:rPr>
        <w:t>e</w:t>
      </w:r>
      <w:r w:rsidRPr="00AB1054">
        <w:rPr>
          <w:rFonts w:ascii="宋体" w:hAnsi="宋体"/>
          <w:sz w:val="24"/>
          <w:szCs w:val="24"/>
        </w:rPr>
        <w:t>互动平台投资者提问</w:t>
      </w:r>
      <w:r w:rsidRPr="00AB1054">
        <w:rPr>
          <w:rFonts w:ascii="宋体" w:hAnsi="宋体" w:hint="eastAsia"/>
          <w:sz w:val="24"/>
          <w:szCs w:val="24"/>
        </w:rPr>
        <w:t>2</w:t>
      </w:r>
      <w:r w:rsidRPr="00AB1054">
        <w:rPr>
          <w:rFonts w:ascii="宋体" w:hAnsi="宋体"/>
          <w:sz w:val="24"/>
          <w:szCs w:val="24"/>
        </w:rPr>
        <w:t>0条，答复率100%。</w:t>
      </w:r>
    </w:p>
    <w:p w14:paraId="597ED2A4" w14:textId="77777777" w:rsidR="0079182B" w:rsidRPr="00AB1054" w:rsidRDefault="0079182B" w:rsidP="0079182B">
      <w:pPr>
        <w:spacing w:line="360" w:lineRule="auto"/>
        <w:ind w:firstLineChars="200" w:firstLine="480"/>
        <w:jc w:val="left"/>
        <w:rPr>
          <w:rFonts w:ascii="宋体" w:hAnsi="宋体"/>
          <w:sz w:val="24"/>
          <w:szCs w:val="24"/>
          <w:highlight w:val="yellow"/>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，公司通过以下措施进一步强化信息披露质量，健全投资者沟通渠道。</w:t>
      </w:r>
    </w:p>
    <w:p w14:paraId="7163CAD2"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（一）增强信息披露可读性，提高信息获取便捷性</w:t>
      </w:r>
    </w:p>
    <w:p w14:paraId="1C68D40D"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在合</w:t>
      </w:r>
      <w:proofErr w:type="gramStart"/>
      <w:r w:rsidRPr="00AB1054">
        <w:rPr>
          <w:rFonts w:ascii="宋体" w:hAnsi="宋体" w:hint="eastAsia"/>
          <w:sz w:val="24"/>
          <w:szCs w:val="24"/>
        </w:rPr>
        <w:t>规</w:t>
      </w:r>
      <w:proofErr w:type="gramEnd"/>
      <w:r w:rsidRPr="00AB1054">
        <w:rPr>
          <w:rFonts w:ascii="宋体" w:hAnsi="宋体" w:hint="eastAsia"/>
          <w:sz w:val="24"/>
          <w:szCs w:val="24"/>
        </w:rPr>
        <w:t>进行信息披露的基础上，公司力求让披露内容简明清晰、通俗易懂。公司采取一图读懂、图表、图片等多种可视化形式对定期报告加以解读，突出关键信息，减轻投资者的阅读负担，方便投资者获取信息并进行判断决策。公司不断增强自愿性信息披露，针对对外投资、研发项目进展等情况及时发布自愿披露公告。同时，公司持续优化、更新并维护公司官网、公众号等多个平台，致力于构建多层次的投资者沟通渠道，以便投资者能够便捷地获取公</w:t>
      </w:r>
      <w:r w:rsidRPr="00AB1054">
        <w:rPr>
          <w:rFonts w:ascii="宋体" w:hAnsi="宋体" w:hint="eastAsia"/>
          <w:sz w:val="24"/>
          <w:szCs w:val="24"/>
        </w:rPr>
        <w:lastRenderedPageBreak/>
        <w:t>司动态等相关信息。</w:t>
      </w:r>
    </w:p>
    <w:p w14:paraId="7C9BB0A4"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（二）优化投资者关系管理工作，丰富投资者互动渠道</w:t>
      </w:r>
    </w:p>
    <w:p w14:paraId="1F696884" w14:textId="1366F648" w:rsidR="0079182B" w:rsidRPr="00DA305B"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公司常态</w:t>
      </w:r>
      <w:proofErr w:type="gramStart"/>
      <w:r w:rsidRPr="00AB1054">
        <w:rPr>
          <w:rFonts w:ascii="宋体" w:hAnsi="宋体" w:hint="eastAsia"/>
          <w:sz w:val="24"/>
          <w:szCs w:val="24"/>
        </w:rPr>
        <w:t>化开展</w:t>
      </w:r>
      <w:proofErr w:type="gramEnd"/>
      <w:r w:rsidRPr="00AB1054">
        <w:rPr>
          <w:rFonts w:ascii="宋体" w:hAnsi="宋体" w:hint="eastAsia"/>
          <w:sz w:val="24"/>
          <w:szCs w:val="24"/>
        </w:rPr>
        <w:t>业绩说明会，根据公司实际经营情况进一步加强信息披露，继续丰富投资者沟通交流的方式，使得投资者更加直观</w:t>
      </w:r>
      <w:r>
        <w:rPr>
          <w:rFonts w:ascii="宋体" w:hAnsi="宋体" w:hint="eastAsia"/>
          <w:sz w:val="24"/>
          <w:szCs w:val="24"/>
        </w:rPr>
        <w:t>地</w:t>
      </w:r>
      <w:r w:rsidRPr="00AB1054">
        <w:rPr>
          <w:rFonts w:ascii="宋体" w:hAnsi="宋体" w:hint="eastAsia"/>
          <w:sz w:val="24"/>
          <w:szCs w:val="24"/>
        </w:rPr>
        <w:t>感受公司的经营情况和发展战略，进一步增进投资者对公司的认同感。</w:t>
      </w:r>
      <w:r>
        <w:rPr>
          <w:rFonts w:ascii="宋体" w:hAnsi="宋体" w:hint="eastAsia"/>
          <w:sz w:val="24"/>
          <w:szCs w:val="24"/>
        </w:rPr>
        <w:t>积极参与山东监管局、上市公司协会等部门组织的专项活动。</w:t>
      </w:r>
      <w:r w:rsidRPr="00AB1054">
        <w:rPr>
          <w:rFonts w:ascii="宋体" w:hAnsi="宋体" w:hint="eastAsia"/>
          <w:sz w:val="24"/>
          <w:szCs w:val="24"/>
        </w:rPr>
        <w:t>及时接听投资者热线电话、查看回复公开邮箱和上证</w:t>
      </w:r>
      <w:r>
        <w:rPr>
          <w:rFonts w:ascii="宋体" w:hAnsi="宋体"/>
          <w:sz w:val="24"/>
          <w:szCs w:val="24"/>
        </w:rPr>
        <w:t>e</w:t>
      </w:r>
      <w:r w:rsidRPr="00AB1054">
        <w:rPr>
          <w:rFonts w:ascii="宋体" w:hAnsi="宋体"/>
          <w:sz w:val="24"/>
          <w:szCs w:val="24"/>
        </w:rPr>
        <w:t>互动平台提问，提高和投资者沟通的效率，保护中小股东</w:t>
      </w:r>
      <w:r w:rsidRPr="00AB1054">
        <w:rPr>
          <w:rFonts w:ascii="宋体" w:hAnsi="宋体" w:hint="eastAsia"/>
          <w:sz w:val="24"/>
          <w:szCs w:val="24"/>
        </w:rPr>
        <w:t>利益。</w:t>
      </w:r>
    </w:p>
    <w:p w14:paraId="29DB581C"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六、提高投资者回报，共享企业发展成果</w:t>
      </w:r>
    </w:p>
    <w:p w14:paraId="5ED000F0"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（一）持续现金分红，注重投资者回报</w:t>
      </w:r>
    </w:p>
    <w:p w14:paraId="6CC0DE10" w14:textId="77777777" w:rsidR="0079182B"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始终将投资者回报置于重要战略高度，深耕公司经营，聚力聚焦主营业务，致力于全方位提升公司业绩表现。在此坚实基础之上，公司充分运用现金分红等多元方式，旨在为投资者提供长期、稳定且丰厚的投资回报，积极促进与全体股东共享公司发展所取得的卓越成果。</w:t>
      </w:r>
    </w:p>
    <w:p w14:paraId="3E13F4B6"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t>2025年</w:t>
      </w:r>
      <w:r w:rsidRPr="00AB1054">
        <w:rPr>
          <w:rFonts w:ascii="宋体" w:hAnsi="宋体" w:hint="eastAsia"/>
          <w:sz w:val="24"/>
          <w:szCs w:val="24"/>
        </w:rPr>
        <w:t>上半年</w:t>
      </w:r>
      <w:r w:rsidRPr="00AB1054">
        <w:rPr>
          <w:rFonts w:ascii="宋体" w:hAnsi="宋体"/>
          <w:sz w:val="24"/>
          <w:szCs w:val="24"/>
        </w:rPr>
        <w:t>，公司严格依照《公司章程》</w:t>
      </w:r>
      <w:r>
        <w:rPr>
          <w:rFonts w:ascii="宋体" w:hAnsi="宋体" w:hint="eastAsia"/>
          <w:sz w:val="24"/>
          <w:szCs w:val="24"/>
        </w:rPr>
        <w:t>等相关规定，制定了</w:t>
      </w:r>
      <w:r w:rsidRPr="00AB1054">
        <w:rPr>
          <w:rFonts w:ascii="宋体" w:hAnsi="宋体" w:hint="eastAsia"/>
          <w:sz w:val="24"/>
          <w:szCs w:val="24"/>
        </w:rPr>
        <w:t>《</w:t>
      </w:r>
      <w:r>
        <w:rPr>
          <w:rFonts w:ascii="宋体" w:hAnsi="宋体" w:hint="eastAsia"/>
          <w:sz w:val="24"/>
          <w:szCs w:val="24"/>
        </w:rPr>
        <w:t>山东步长制药股份有限公司</w:t>
      </w:r>
      <w:r w:rsidRPr="00AB1054">
        <w:rPr>
          <w:rFonts w:ascii="宋体" w:hAnsi="宋体" w:hint="eastAsia"/>
          <w:sz w:val="24"/>
          <w:szCs w:val="24"/>
        </w:rPr>
        <w:t>未来三年（</w:t>
      </w:r>
      <w:r w:rsidRPr="00AB1054">
        <w:rPr>
          <w:rFonts w:ascii="宋体" w:hAnsi="宋体"/>
          <w:sz w:val="24"/>
          <w:szCs w:val="24"/>
        </w:rPr>
        <w:t>2025-2027</w:t>
      </w:r>
      <w:r>
        <w:rPr>
          <w:rFonts w:ascii="宋体" w:hAnsi="宋体"/>
          <w:sz w:val="24"/>
          <w:szCs w:val="24"/>
        </w:rPr>
        <w:t>年）股东分红回报规划》</w:t>
      </w:r>
      <w:r>
        <w:rPr>
          <w:rFonts w:ascii="宋体" w:hAnsi="宋体" w:hint="eastAsia"/>
          <w:sz w:val="24"/>
          <w:szCs w:val="24"/>
        </w:rPr>
        <w:t>。在符合公司利润分配政策、保障公司正常运营和长远发展的前提下，公司制定了2025年中期分红方案，</w:t>
      </w:r>
      <w:r w:rsidRPr="00AB1054">
        <w:rPr>
          <w:rFonts w:ascii="宋体" w:hAnsi="宋体" w:hint="eastAsia"/>
          <w:sz w:val="24"/>
          <w:szCs w:val="24"/>
        </w:rPr>
        <w:t>审议通过了《关于公司</w:t>
      </w:r>
      <w:r>
        <w:rPr>
          <w:rFonts w:ascii="宋体" w:hAnsi="宋体"/>
          <w:sz w:val="24"/>
          <w:szCs w:val="24"/>
        </w:rPr>
        <w:t>2025</w:t>
      </w:r>
      <w:r w:rsidRPr="00AB1054">
        <w:rPr>
          <w:rFonts w:ascii="宋体" w:hAnsi="宋体"/>
          <w:sz w:val="24"/>
          <w:szCs w:val="24"/>
        </w:rPr>
        <w:t>年中期分红安排的议案</w:t>
      </w:r>
      <w:r w:rsidRPr="00AB1054">
        <w:rPr>
          <w:rFonts w:ascii="宋体" w:hAnsi="宋体" w:hint="eastAsia"/>
          <w:sz w:val="24"/>
          <w:szCs w:val="24"/>
        </w:rPr>
        <w:t>》。</w:t>
      </w:r>
    </w:p>
    <w:p w14:paraId="1E9FCF59"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将进一步探索并构建科学合理、持续稳定的股东回报长效机制，着力增强利润分配政策决策过程的透明度与实际可操作性，切实维护公众投资者的合法权益，有效提升广大投资者在投资过程中的获得感与满意度。</w:t>
      </w:r>
    </w:p>
    <w:p w14:paraId="73E24C04"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（二）推进回购方案，增强投资者信心</w:t>
      </w:r>
    </w:p>
    <w:p w14:paraId="4B8B289E" w14:textId="5E393F83" w:rsidR="0079182B" w:rsidRDefault="0079182B" w:rsidP="0079182B">
      <w:pPr>
        <w:spacing w:line="360" w:lineRule="auto"/>
        <w:ind w:firstLineChars="200" w:firstLine="480"/>
        <w:jc w:val="left"/>
        <w:rPr>
          <w:rFonts w:ascii="宋体" w:hAnsi="宋体"/>
          <w:sz w:val="24"/>
          <w:szCs w:val="24"/>
        </w:rPr>
      </w:pPr>
      <w:r w:rsidRPr="007F4826">
        <w:rPr>
          <w:rFonts w:ascii="宋体" w:hAnsi="宋体" w:hint="eastAsia"/>
          <w:sz w:val="24"/>
          <w:szCs w:val="24"/>
        </w:rPr>
        <w:t>截至</w:t>
      </w:r>
      <w:r>
        <w:rPr>
          <w:rFonts w:ascii="宋体" w:hAnsi="宋体"/>
          <w:sz w:val="24"/>
          <w:szCs w:val="24"/>
        </w:rPr>
        <w:t>2025年</w:t>
      </w:r>
      <w:r>
        <w:rPr>
          <w:rFonts w:ascii="宋体" w:hAnsi="宋体" w:hint="eastAsia"/>
          <w:sz w:val="24"/>
          <w:szCs w:val="24"/>
        </w:rPr>
        <w:t>上半年</w:t>
      </w:r>
      <w:r w:rsidRPr="007F4826">
        <w:rPr>
          <w:rFonts w:ascii="宋体" w:hAnsi="宋体"/>
          <w:sz w:val="24"/>
          <w:szCs w:val="24"/>
        </w:rPr>
        <w:t>，公司共进行</w:t>
      </w:r>
      <w:r>
        <w:rPr>
          <w:rFonts w:ascii="宋体" w:hAnsi="宋体" w:hint="eastAsia"/>
          <w:sz w:val="24"/>
          <w:szCs w:val="24"/>
        </w:rPr>
        <w:t>3</w:t>
      </w:r>
      <w:r w:rsidR="00972B0C">
        <w:rPr>
          <w:rFonts w:ascii="宋体" w:hAnsi="宋体"/>
          <w:sz w:val="24"/>
          <w:szCs w:val="24"/>
        </w:rPr>
        <w:t>次股份回购，</w:t>
      </w:r>
      <w:r w:rsidRPr="007F4826">
        <w:rPr>
          <w:rFonts w:ascii="宋体" w:hAnsi="宋体"/>
          <w:sz w:val="24"/>
          <w:szCs w:val="24"/>
        </w:rPr>
        <w:t>累计回购股份</w:t>
      </w:r>
      <w:r>
        <w:rPr>
          <w:rFonts w:ascii="宋体" w:hAnsi="宋体" w:hint="eastAsia"/>
          <w:sz w:val="24"/>
          <w:szCs w:val="24"/>
        </w:rPr>
        <w:t>8,70</w:t>
      </w:r>
      <w:r>
        <w:rPr>
          <w:rFonts w:ascii="宋体" w:hAnsi="宋体"/>
          <w:sz w:val="24"/>
          <w:szCs w:val="24"/>
        </w:rPr>
        <w:t>1</w:t>
      </w:r>
      <w:r>
        <w:rPr>
          <w:rFonts w:ascii="宋体" w:hAnsi="宋体" w:hint="eastAsia"/>
          <w:sz w:val="24"/>
          <w:szCs w:val="24"/>
        </w:rPr>
        <w:t>.</w:t>
      </w:r>
      <w:r>
        <w:rPr>
          <w:rFonts w:ascii="宋体" w:hAnsi="宋体"/>
          <w:sz w:val="24"/>
          <w:szCs w:val="24"/>
        </w:rPr>
        <w:t>22</w:t>
      </w:r>
      <w:r w:rsidRPr="007F4826">
        <w:rPr>
          <w:rFonts w:ascii="宋体" w:hAnsi="宋体"/>
          <w:sz w:val="24"/>
          <w:szCs w:val="24"/>
        </w:rPr>
        <w:t>万股，支付回购总金额为</w:t>
      </w:r>
      <w:r>
        <w:rPr>
          <w:rFonts w:ascii="宋体" w:hAnsi="宋体"/>
          <w:sz w:val="24"/>
          <w:szCs w:val="24"/>
        </w:rPr>
        <w:t>174</w:t>
      </w:r>
      <w:r>
        <w:rPr>
          <w:rFonts w:ascii="宋体" w:hAnsi="宋体" w:hint="eastAsia"/>
          <w:sz w:val="24"/>
          <w:szCs w:val="24"/>
        </w:rPr>
        <w:t>,</w:t>
      </w:r>
      <w:r>
        <w:rPr>
          <w:rFonts w:ascii="宋体" w:hAnsi="宋体"/>
          <w:sz w:val="24"/>
          <w:szCs w:val="24"/>
        </w:rPr>
        <w:t>443.11万元</w:t>
      </w:r>
      <w:r>
        <w:rPr>
          <w:rFonts w:ascii="宋体" w:hAnsi="宋体" w:hint="eastAsia"/>
          <w:sz w:val="24"/>
          <w:szCs w:val="24"/>
        </w:rPr>
        <w:t>。其中，2</w:t>
      </w:r>
      <w:r>
        <w:rPr>
          <w:rFonts w:ascii="宋体" w:hAnsi="宋体"/>
          <w:sz w:val="24"/>
          <w:szCs w:val="24"/>
        </w:rPr>
        <w:t>025</w:t>
      </w:r>
      <w:r>
        <w:rPr>
          <w:rFonts w:ascii="宋体" w:hAnsi="宋体" w:hint="eastAsia"/>
          <w:sz w:val="24"/>
          <w:szCs w:val="24"/>
        </w:rPr>
        <w:t>年上半年回购股份6</w:t>
      </w:r>
      <w:r>
        <w:rPr>
          <w:rFonts w:ascii="宋体" w:hAnsi="宋体"/>
          <w:sz w:val="24"/>
          <w:szCs w:val="24"/>
        </w:rPr>
        <w:t>62.06</w:t>
      </w:r>
      <w:r>
        <w:rPr>
          <w:rFonts w:ascii="宋体" w:hAnsi="宋体" w:hint="eastAsia"/>
          <w:sz w:val="24"/>
          <w:szCs w:val="24"/>
        </w:rPr>
        <w:t>万股，支付回购金额为9</w:t>
      </w:r>
      <w:r>
        <w:rPr>
          <w:rFonts w:ascii="宋体" w:hAnsi="宋体"/>
          <w:sz w:val="24"/>
          <w:szCs w:val="24"/>
        </w:rPr>
        <w:t>,805.58</w:t>
      </w:r>
      <w:r>
        <w:rPr>
          <w:rFonts w:ascii="宋体" w:hAnsi="宋体" w:hint="eastAsia"/>
          <w:sz w:val="24"/>
          <w:szCs w:val="24"/>
        </w:rPr>
        <w:t>万元。</w:t>
      </w:r>
    </w:p>
    <w:p w14:paraId="34A21648" w14:textId="77777777" w:rsidR="0079182B" w:rsidRPr="007F4826" w:rsidRDefault="0079182B" w:rsidP="0079182B">
      <w:pPr>
        <w:spacing w:line="360" w:lineRule="auto"/>
        <w:ind w:firstLineChars="200" w:firstLine="480"/>
        <w:jc w:val="left"/>
        <w:rPr>
          <w:rFonts w:ascii="宋体" w:hAnsi="宋体"/>
          <w:sz w:val="24"/>
          <w:szCs w:val="24"/>
        </w:rPr>
      </w:pPr>
      <w:r>
        <w:rPr>
          <w:rFonts w:ascii="宋体" w:hAnsi="宋体" w:hint="eastAsia"/>
          <w:sz w:val="24"/>
          <w:szCs w:val="24"/>
        </w:rPr>
        <w:t>上述累计回购股份中</w:t>
      </w:r>
      <w:r w:rsidRPr="007F4826">
        <w:rPr>
          <w:rFonts w:ascii="宋体" w:hAnsi="宋体"/>
          <w:sz w:val="24"/>
          <w:szCs w:val="24"/>
        </w:rPr>
        <w:t>已注销3,553.80</w:t>
      </w:r>
      <w:r>
        <w:rPr>
          <w:rFonts w:ascii="宋体" w:hAnsi="宋体"/>
          <w:sz w:val="24"/>
          <w:szCs w:val="24"/>
        </w:rPr>
        <w:t>万股，剩余</w:t>
      </w:r>
      <w:r>
        <w:rPr>
          <w:rFonts w:ascii="宋体" w:hAnsi="宋体" w:hint="eastAsia"/>
          <w:sz w:val="24"/>
          <w:szCs w:val="24"/>
        </w:rPr>
        <w:t>5</w:t>
      </w:r>
      <w:r>
        <w:rPr>
          <w:rFonts w:ascii="宋体" w:hAnsi="宋体"/>
          <w:sz w:val="24"/>
          <w:szCs w:val="24"/>
        </w:rPr>
        <w:t>,147.42</w:t>
      </w:r>
      <w:r>
        <w:rPr>
          <w:rFonts w:ascii="宋体" w:hAnsi="宋体" w:hint="eastAsia"/>
          <w:sz w:val="24"/>
          <w:szCs w:val="24"/>
        </w:rPr>
        <w:t>万</w:t>
      </w:r>
      <w:r>
        <w:rPr>
          <w:rFonts w:ascii="宋体" w:hAnsi="宋体"/>
          <w:sz w:val="24"/>
          <w:szCs w:val="24"/>
        </w:rPr>
        <w:t>股</w:t>
      </w:r>
      <w:r>
        <w:rPr>
          <w:rFonts w:ascii="宋体" w:hAnsi="宋体" w:hint="eastAsia"/>
          <w:sz w:val="24"/>
          <w:szCs w:val="24"/>
        </w:rPr>
        <w:t>已经董事会、股东会审议通过，</w:t>
      </w:r>
      <w:proofErr w:type="gramStart"/>
      <w:r>
        <w:rPr>
          <w:rFonts w:ascii="宋体" w:hAnsi="宋体" w:hint="eastAsia"/>
          <w:sz w:val="24"/>
          <w:szCs w:val="24"/>
        </w:rPr>
        <w:t>拟全部</w:t>
      </w:r>
      <w:proofErr w:type="gramEnd"/>
      <w:r>
        <w:rPr>
          <w:rFonts w:ascii="宋体" w:hAnsi="宋体" w:hint="eastAsia"/>
          <w:sz w:val="24"/>
          <w:szCs w:val="24"/>
        </w:rPr>
        <w:t>注销</w:t>
      </w:r>
      <w:r w:rsidRPr="007F4826">
        <w:rPr>
          <w:rFonts w:ascii="宋体" w:hAnsi="宋体"/>
          <w:sz w:val="24"/>
          <w:szCs w:val="24"/>
        </w:rPr>
        <w:t>。</w:t>
      </w:r>
    </w:p>
    <w:p w14:paraId="493D9CAD"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相关举措增强了投资者预期，向市场传递出对企业长期价值的信心。不仅稳定股价预期，更凸显管理层对公司未来发展的坚定信心。</w:t>
      </w:r>
    </w:p>
    <w:p w14:paraId="5BB06E7D"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（三）健全稳定股价预案，保障投资者权益</w:t>
      </w:r>
    </w:p>
    <w:p w14:paraId="1A8BA2DB"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sz w:val="24"/>
          <w:szCs w:val="24"/>
        </w:rPr>
        <w:lastRenderedPageBreak/>
        <w:t>2025</w:t>
      </w:r>
      <w:r w:rsidRPr="00AB1054">
        <w:rPr>
          <w:rFonts w:ascii="宋体" w:hAnsi="宋体" w:hint="eastAsia"/>
          <w:sz w:val="24"/>
          <w:szCs w:val="24"/>
        </w:rPr>
        <w:t>年上半</w:t>
      </w:r>
      <w:r w:rsidRPr="00AB1054">
        <w:rPr>
          <w:rFonts w:ascii="宋体" w:hAnsi="宋体"/>
          <w:sz w:val="24"/>
          <w:szCs w:val="24"/>
        </w:rPr>
        <w:t>年，公司持续专注主营业务，提高研发效率，为创造公司的长期价值</w:t>
      </w:r>
      <w:r w:rsidRPr="00AB1054">
        <w:rPr>
          <w:rFonts w:ascii="宋体" w:hAnsi="宋体" w:hint="eastAsia"/>
          <w:sz w:val="24"/>
          <w:szCs w:val="24"/>
        </w:rPr>
        <w:t>夯实基础。同时，根据资本市场情况，积极采取股票回购等措施，增强市场与投资者信心，维护股价相对稳定。</w:t>
      </w:r>
    </w:p>
    <w:p w14:paraId="08976DB0" w14:textId="3BD58350"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为充分保障股东知情权、稳定市场信心，公司加强日常舆情监测及分析，密切关注各类媒体报道，发现可能对投资者决策或者上市公司股票交易产生较大影响的市场传闻时，公司采取多种措施，控制传播范围，切实保护投资者利益。</w:t>
      </w:r>
    </w:p>
    <w:p w14:paraId="3457A3B9" w14:textId="77777777" w:rsidR="0079182B" w:rsidRPr="00AB1054" w:rsidRDefault="0079182B" w:rsidP="0079182B">
      <w:pPr>
        <w:spacing w:line="360" w:lineRule="auto"/>
        <w:ind w:firstLineChars="200" w:firstLine="482"/>
        <w:jc w:val="left"/>
        <w:rPr>
          <w:rFonts w:ascii="宋体" w:hAnsi="宋体"/>
          <w:b/>
          <w:sz w:val="24"/>
          <w:szCs w:val="24"/>
        </w:rPr>
      </w:pPr>
      <w:r w:rsidRPr="00AB1054">
        <w:rPr>
          <w:rFonts w:ascii="宋体" w:hAnsi="宋体" w:hint="eastAsia"/>
          <w:b/>
          <w:sz w:val="24"/>
          <w:szCs w:val="24"/>
        </w:rPr>
        <w:t>七、其他事宜</w:t>
      </w:r>
    </w:p>
    <w:p w14:paraId="2130BF2F" w14:textId="77777777" w:rsidR="0079182B" w:rsidRPr="00AB1054"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公司持续关注“提质增效重回报”行动方案的执行情况，及时履行信息披露义务。未来，公司将继续聚焦经营主业，提升公司核心竞争力、保持技术领先性，通过良好的经营管理、规范的公司治理和积极的投资者回报，切实保护投资者利益，维护公司良好市场形象，促进资本市场平稳健康发展。</w:t>
      </w:r>
    </w:p>
    <w:p w14:paraId="7BD58E47" w14:textId="7D7B87D7" w:rsidR="0079182B" w:rsidRPr="0079182B" w:rsidRDefault="0079182B" w:rsidP="0079182B">
      <w:pPr>
        <w:spacing w:line="360" w:lineRule="auto"/>
        <w:ind w:firstLineChars="200" w:firstLine="480"/>
        <w:jc w:val="left"/>
        <w:rPr>
          <w:rFonts w:ascii="宋体" w:hAnsi="宋体"/>
          <w:sz w:val="24"/>
          <w:szCs w:val="24"/>
        </w:rPr>
      </w:pPr>
      <w:r w:rsidRPr="00AB1054">
        <w:rPr>
          <w:rFonts w:ascii="宋体" w:hAnsi="宋体" w:hint="eastAsia"/>
          <w:sz w:val="24"/>
          <w:szCs w:val="24"/>
        </w:rPr>
        <w:t>本报告所涉及的公司规划、发展战略等系非既成事实的前瞻性陈述，不构成公司对投资者的实质承诺，敬请投资者注意相关风险。</w:t>
      </w:r>
    </w:p>
    <w:p w14:paraId="2379FEE0" w14:textId="07172E55" w:rsidR="00D872BE" w:rsidRDefault="00B323C8">
      <w:pPr>
        <w:pStyle w:val="af"/>
        <w:pBdr>
          <w:bottom w:val="none" w:sz="0" w:space="5" w:color="000000"/>
        </w:pBdr>
        <w:spacing w:afterLines="50" w:after="120"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特此公告。</w:t>
      </w:r>
    </w:p>
    <w:p w14:paraId="1F5923A9" w14:textId="39B9C763" w:rsidR="0079182B" w:rsidRDefault="0079182B">
      <w:pPr>
        <w:pStyle w:val="af"/>
        <w:pBdr>
          <w:bottom w:val="none" w:sz="0" w:space="5" w:color="000000"/>
        </w:pBdr>
        <w:spacing w:afterLines="50" w:after="120" w:line="360" w:lineRule="auto"/>
        <w:ind w:firstLineChars="200" w:firstLine="480"/>
        <w:rPr>
          <w:rFonts w:asciiTheme="minorEastAsia" w:eastAsiaTheme="minorEastAsia" w:hAnsiTheme="minorEastAsia" w:cs="Arial"/>
          <w:sz w:val="24"/>
          <w:szCs w:val="24"/>
          <w:shd w:val="clear" w:color="auto" w:fill="FFFFFF"/>
        </w:rPr>
      </w:pPr>
    </w:p>
    <w:p w14:paraId="2722F543" w14:textId="77777777" w:rsidR="0079182B" w:rsidRDefault="0079182B">
      <w:pPr>
        <w:pStyle w:val="af"/>
        <w:pBdr>
          <w:bottom w:val="none" w:sz="0" w:space="5" w:color="000000"/>
        </w:pBdr>
        <w:spacing w:afterLines="50" w:after="120" w:line="360" w:lineRule="auto"/>
        <w:ind w:firstLineChars="200" w:firstLine="480"/>
        <w:rPr>
          <w:rFonts w:asciiTheme="minorEastAsia" w:eastAsiaTheme="minorEastAsia" w:hAnsiTheme="minorEastAsia" w:cs="Arial"/>
          <w:sz w:val="24"/>
          <w:szCs w:val="24"/>
          <w:shd w:val="clear" w:color="auto" w:fill="FFFFFF"/>
        </w:rPr>
      </w:pPr>
    </w:p>
    <w:p w14:paraId="1A33A767" w14:textId="77777777" w:rsidR="00D872BE" w:rsidRDefault="00B323C8">
      <w:pPr>
        <w:autoSpaceDE w:val="0"/>
        <w:autoSpaceDN w:val="0"/>
        <w:spacing w:line="360" w:lineRule="auto"/>
        <w:ind w:firstLineChars="200" w:firstLine="480"/>
        <w:jc w:val="right"/>
        <w:rPr>
          <w:rFonts w:asciiTheme="minorEastAsia" w:eastAsiaTheme="minorEastAsia" w:hAnsiTheme="minorEastAsia" w:cs="KAPJJC+ËÎÌå"/>
          <w:sz w:val="24"/>
          <w:szCs w:val="24"/>
        </w:rPr>
      </w:pPr>
      <w:r>
        <w:rPr>
          <w:rFonts w:asciiTheme="minorEastAsia" w:eastAsiaTheme="minorEastAsia" w:hAnsiTheme="minorEastAsia" w:cs="KAPJJC+ËÎÌå" w:hint="eastAsia"/>
          <w:sz w:val="24"/>
          <w:szCs w:val="24"/>
        </w:rPr>
        <w:t>山东步长制药股份有限公司董事会</w:t>
      </w:r>
    </w:p>
    <w:p w14:paraId="4AA9CD98" w14:textId="01F95445" w:rsidR="00D872BE" w:rsidRDefault="00B323C8">
      <w:pPr>
        <w:wordWrap w:val="0"/>
        <w:autoSpaceDE w:val="0"/>
        <w:autoSpaceDN w:val="0"/>
        <w:spacing w:line="360" w:lineRule="auto"/>
        <w:ind w:right="960" w:firstLineChars="200" w:firstLine="480"/>
        <w:jc w:val="right"/>
        <w:rPr>
          <w:rFonts w:asciiTheme="minorEastAsia" w:eastAsiaTheme="minorEastAsia" w:hAnsiTheme="minorEastAsia" w:cs="KAPJJC+ËÎÌå"/>
          <w:color w:val="000000"/>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sidR="0079182B">
        <w:rPr>
          <w:rFonts w:asciiTheme="minorEastAsia" w:eastAsiaTheme="minorEastAsia" w:hAnsiTheme="minorEastAsia"/>
          <w:sz w:val="24"/>
          <w:szCs w:val="24"/>
        </w:rPr>
        <w:t>8</w:t>
      </w:r>
      <w:r>
        <w:rPr>
          <w:rFonts w:asciiTheme="minorEastAsia" w:eastAsiaTheme="minorEastAsia" w:hAnsiTheme="minorEastAsia" w:hint="eastAsia"/>
          <w:sz w:val="24"/>
          <w:szCs w:val="24"/>
        </w:rPr>
        <w:t>月</w:t>
      </w:r>
      <w:r w:rsidR="0079182B">
        <w:rPr>
          <w:rFonts w:asciiTheme="minorEastAsia" w:eastAsiaTheme="minorEastAsia" w:hAnsiTheme="minorEastAsia" w:hint="eastAsia"/>
          <w:sz w:val="24"/>
          <w:szCs w:val="24"/>
        </w:rPr>
        <w:t>2</w:t>
      </w:r>
      <w:r w:rsidR="00240222">
        <w:rPr>
          <w:rFonts w:asciiTheme="minorEastAsia" w:eastAsiaTheme="minorEastAsia" w:hAnsiTheme="minorEastAsia"/>
          <w:sz w:val="24"/>
          <w:szCs w:val="24"/>
        </w:rPr>
        <w:t>8</w:t>
      </w:r>
      <w:r>
        <w:rPr>
          <w:rFonts w:asciiTheme="minorEastAsia" w:eastAsiaTheme="minorEastAsia" w:hAnsiTheme="minorEastAsia" w:hint="eastAsia"/>
          <w:sz w:val="24"/>
          <w:szCs w:val="24"/>
        </w:rPr>
        <w:t>日</w:t>
      </w:r>
    </w:p>
    <w:sectPr w:rsidR="00D872BE">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KAPJJC+ËÎÌå">
    <w:altName w:val="Segoe Print"/>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1F8F"/>
    <w:rsid w:val="00002F0A"/>
    <w:rsid w:val="000035F9"/>
    <w:rsid w:val="0000667D"/>
    <w:rsid w:val="000126A2"/>
    <w:rsid w:val="00016E54"/>
    <w:rsid w:val="000251E1"/>
    <w:rsid w:val="00025AB6"/>
    <w:rsid w:val="00037F63"/>
    <w:rsid w:val="000429C0"/>
    <w:rsid w:val="00044DF5"/>
    <w:rsid w:val="000527BB"/>
    <w:rsid w:val="00053292"/>
    <w:rsid w:val="00056594"/>
    <w:rsid w:val="00060334"/>
    <w:rsid w:val="000620C6"/>
    <w:rsid w:val="00071EBD"/>
    <w:rsid w:val="00073478"/>
    <w:rsid w:val="00074EA5"/>
    <w:rsid w:val="00075036"/>
    <w:rsid w:val="000855A6"/>
    <w:rsid w:val="000862A8"/>
    <w:rsid w:val="0008654E"/>
    <w:rsid w:val="0009464B"/>
    <w:rsid w:val="0009513D"/>
    <w:rsid w:val="000A1DC0"/>
    <w:rsid w:val="000A6C13"/>
    <w:rsid w:val="000B1E95"/>
    <w:rsid w:val="000B2FDE"/>
    <w:rsid w:val="000B61CE"/>
    <w:rsid w:val="000C7ACD"/>
    <w:rsid w:val="000C7C47"/>
    <w:rsid w:val="000D3AD7"/>
    <w:rsid w:val="000D4225"/>
    <w:rsid w:val="000F1416"/>
    <w:rsid w:val="000F1C51"/>
    <w:rsid w:val="000F7871"/>
    <w:rsid w:val="00110672"/>
    <w:rsid w:val="00111355"/>
    <w:rsid w:val="00127311"/>
    <w:rsid w:val="00130B6D"/>
    <w:rsid w:val="00143414"/>
    <w:rsid w:val="00143D65"/>
    <w:rsid w:val="00147716"/>
    <w:rsid w:val="00152ABE"/>
    <w:rsid w:val="00155A06"/>
    <w:rsid w:val="001564CF"/>
    <w:rsid w:val="00162C40"/>
    <w:rsid w:val="00163A71"/>
    <w:rsid w:val="001641B1"/>
    <w:rsid w:val="00174D44"/>
    <w:rsid w:val="00174D90"/>
    <w:rsid w:val="00176150"/>
    <w:rsid w:val="00177BA8"/>
    <w:rsid w:val="001838B9"/>
    <w:rsid w:val="001909BD"/>
    <w:rsid w:val="00190F35"/>
    <w:rsid w:val="00194206"/>
    <w:rsid w:val="0019596C"/>
    <w:rsid w:val="0019622C"/>
    <w:rsid w:val="00197B2C"/>
    <w:rsid w:val="001A0397"/>
    <w:rsid w:val="001A1938"/>
    <w:rsid w:val="001A3667"/>
    <w:rsid w:val="001B0D67"/>
    <w:rsid w:val="001B60A2"/>
    <w:rsid w:val="001B73DF"/>
    <w:rsid w:val="001B74BD"/>
    <w:rsid w:val="001C1565"/>
    <w:rsid w:val="001C1CD8"/>
    <w:rsid w:val="001C210D"/>
    <w:rsid w:val="001C3967"/>
    <w:rsid w:val="001C3C58"/>
    <w:rsid w:val="001D2865"/>
    <w:rsid w:val="001D4C12"/>
    <w:rsid w:val="001D74B9"/>
    <w:rsid w:val="001E326F"/>
    <w:rsid w:val="001E36C9"/>
    <w:rsid w:val="001E46C0"/>
    <w:rsid w:val="001E55AA"/>
    <w:rsid w:val="001F0CEF"/>
    <w:rsid w:val="001F1337"/>
    <w:rsid w:val="0021448C"/>
    <w:rsid w:val="002164E6"/>
    <w:rsid w:val="00217F4F"/>
    <w:rsid w:val="00220B8F"/>
    <w:rsid w:val="00222AE7"/>
    <w:rsid w:val="00224EAF"/>
    <w:rsid w:val="00224FD2"/>
    <w:rsid w:val="002257A3"/>
    <w:rsid w:val="002263CA"/>
    <w:rsid w:val="00232BE2"/>
    <w:rsid w:val="00233E3F"/>
    <w:rsid w:val="00240222"/>
    <w:rsid w:val="00241C2B"/>
    <w:rsid w:val="002453D6"/>
    <w:rsid w:val="00247C9C"/>
    <w:rsid w:val="00251BE6"/>
    <w:rsid w:val="00253D50"/>
    <w:rsid w:val="002551EA"/>
    <w:rsid w:val="002554C3"/>
    <w:rsid w:val="00261506"/>
    <w:rsid w:val="00263CBC"/>
    <w:rsid w:val="00265CCB"/>
    <w:rsid w:val="0026681E"/>
    <w:rsid w:val="0027022A"/>
    <w:rsid w:val="002719B9"/>
    <w:rsid w:val="00272384"/>
    <w:rsid w:val="00273043"/>
    <w:rsid w:val="00273EC7"/>
    <w:rsid w:val="00286600"/>
    <w:rsid w:val="002911DE"/>
    <w:rsid w:val="00292141"/>
    <w:rsid w:val="00292756"/>
    <w:rsid w:val="002B2F18"/>
    <w:rsid w:val="002B3B5C"/>
    <w:rsid w:val="002C3879"/>
    <w:rsid w:val="002C5A80"/>
    <w:rsid w:val="002D01C9"/>
    <w:rsid w:val="002D4199"/>
    <w:rsid w:val="002D509B"/>
    <w:rsid w:val="002E0650"/>
    <w:rsid w:val="002E0C18"/>
    <w:rsid w:val="002E513B"/>
    <w:rsid w:val="002E6057"/>
    <w:rsid w:val="002E6107"/>
    <w:rsid w:val="002F0535"/>
    <w:rsid w:val="00300275"/>
    <w:rsid w:val="0030086C"/>
    <w:rsid w:val="003025E1"/>
    <w:rsid w:val="00312CB0"/>
    <w:rsid w:val="003145F7"/>
    <w:rsid w:val="00314AA2"/>
    <w:rsid w:val="00317D95"/>
    <w:rsid w:val="00324803"/>
    <w:rsid w:val="00324DD9"/>
    <w:rsid w:val="00326209"/>
    <w:rsid w:val="00331831"/>
    <w:rsid w:val="003364F0"/>
    <w:rsid w:val="0033784C"/>
    <w:rsid w:val="00337E2F"/>
    <w:rsid w:val="00343B59"/>
    <w:rsid w:val="00347138"/>
    <w:rsid w:val="00361E75"/>
    <w:rsid w:val="003713CA"/>
    <w:rsid w:val="0037295F"/>
    <w:rsid w:val="00383E17"/>
    <w:rsid w:val="00384FCC"/>
    <w:rsid w:val="00385616"/>
    <w:rsid w:val="00396F7C"/>
    <w:rsid w:val="00397167"/>
    <w:rsid w:val="003A0455"/>
    <w:rsid w:val="003A28FC"/>
    <w:rsid w:val="003A3A1F"/>
    <w:rsid w:val="003A500C"/>
    <w:rsid w:val="003A64A1"/>
    <w:rsid w:val="003A7923"/>
    <w:rsid w:val="003C1E6B"/>
    <w:rsid w:val="003C20FD"/>
    <w:rsid w:val="003C305A"/>
    <w:rsid w:val="003C3D25"/>
    <w:rsid w:val="003C6323"/>
    <w:rsid w:val="003D08D5"/>
    <w:rsid w:val="003D5115"/>
    <w:rsid w:val="003D7C9F"/>
    <w:rsid w:val="003E03B3"/>
    <w:rsid w:val="003E7E1E"/>
    <w:rsid w:val="003F153C"/>
    <w:rsid w:val="0040129D"/>
    <w:rsid w:val="004021C6"/>
    <w:rsid w:val="004060F6"/>
    <w:rsid w:val="00412631"/>
    <w:rsid w:val="00416911"/>
    <w:rsid w:val="00421BBA"/>
    <w:rsid w:val="00423C32"/>
    <w:rsid w:val="00424B73"/>
    <w:rsid w:val="00430144"/>
    <w:rsid w:val="004326AA"/>
    <w:rsid w:val="00447D53"/>
    <w:rsid w:val="00457BB6"/>
    <w:rsid w:val="00460085"/>
    <w:rsid w:val="004601B2"/>
    <w:rsid w:val="00462B57"/>
    <w:rsid w:val="004633E5"/>
    <w:rsid w:val="004635A3"/>
    <w:rsid w:val="004639D9"/>
    <w:rsid w:val="00470C3C"/>
    <w:rsid w:val="004714DE"/>
    <w:rsid w:val="00471525"/>
    <w:rsid w:val="004719C3"/>
    <w:rsid w:val="0047340C"/>
    <w:rsid w:val="0047585D"/>
    <w:rsid w:val="004770A2"/>
    <w:rsid w:val="0048475F"/>
    <w:rsid w:val="00490120"/>
    <w:rsid w:val="0049014D"/>
    <w:rsid w:val="00492A8C"/>
    <w:rsid w:val="004A3805"/>
    <w:rsid w:val="004A3A5C"/>
    <w:rsid w:val="004A459D"/>
    <w:rsid w:val="004B4AFD"/>
    <w:rsid w:val="004B6C24"/>
    <w:rsid w:val="004C0FB3"/>
    <w:rsid w:val="004C3534"/>
    <w:rsid w:val="004C6320"/>
    <w:rsid w:val="004D13DA"/>
    <w:rsid w:val="004D2313"/>
    <w:rsid w:val="004D524C"/>
    <w:rsid w:val="004D69C0"/>
    <w:rsid w:val="004E50FA"/>
    <w:rsid w:val="004E66AB"/>
    <w:rsid w:val="004E74FC"/>
    <w:rsid w:val="004F292F"/>
    <w:rsid w:val="00503065"/>
    <w:rsid w:val="005032AE"/>
    <w:rsid w:val="00503BD3"/>
    <w:rsid w:val="00504E9A"/>
    <w:rsid w:val="005059F4"/>
    <w:rsid w:val="00512092"/>
    <w:rsid w:val="00523553"/>
    <w:rsid w:val="00526700"/>
    <w:rsid w:val="00530106"/>
    <w:rsid w:val="0053036C"/>
    <w:rsid w:val="00532DEA"/>
    <w:rsid w:val="00534191"/>
    <w:rsid w:val="00542C45"/>
    <w:rsid w:val="00544117"/>
    <w:rsid w:val="0054413D"/>
    <w:rsid w:val="00552679"/>
    <w:rsid w:val="00552AF6"/>
    <w:rsid w:val="00553C33"/>
    <w:rsid w:val="00560217"/>
    <w:rsid w:val="00563A40"/>
    <w:rsid w:val="0056674A"/>
    <w:rsid w:val="00567D7E"/>
    <w:rsid w:val="00567F25"/>
    <w:rsid w:val="00570FEA"/>
    <w:rsid w:val="005714EF"/>
    <w:rsid w:val="00572090"/>
    <w:rsid w:val="00581BCB"/>
    <w:rsid w:val="005830E7"/>
    <w:rsid w:val="0058639F"/>
    <w:rsid w:val="00587138"/>
    <w:rsid w:val="00592996"/>
    <w:rsid w:val="00597FCE"/>
    <w:rsid w:val="005A3358"/>
    <w:rsid w:val="005A4933"/>
    <w:rsid w:val="005A54D6"/>
    <w:rsid w:val="005A6B95"/>
    <w:rsid w:val="005B2023"/>
    <w:rsid w:val="005C363A"/>
    <w:rsid w:val="005C6A19"/>
    <w:rsid w:val="005D4CDF"/>
    <w:rsid w:val="005D6403"/>
    <w:rsid w:val="005D7FC7"/>
    <w:rsid w:val="005E3352"/>
    <w:rsid w:val="005E5DAA"/>
    <w:rsid w:val="005F161A"/>
    <w:rsid w:val="005F2EF4"/>
    <w:rsid w:val="005F598C"/>
    <w:rsid w:val="005F778A"/>
    <w:rsid w:val="005F77BB"/>
    <w:rsid w:val="00602BBD"/>
    <w:rsid w:val="00604CA0"/>
    <w:rsid w:val="006053B4"/>
    <w:rsid w:val="0061050F"/>
    <w:rsid w:val="006115D4"/>
    <w:rsid w:val="00620393"/>
    <w:rsid w:val="00621263"/>
    <w:rsid w:val="006237EB"/>
    <w:rsid w:val="00631DE4"/>
    <w:rsid w:val="006326DE"/>
    <w:rsid w:val="00635438"/>
    <w:rsid w:val="00637432"/>
    <w:rsid w:val="0064267A"/>
    <w:rsid w:val="0065181D"/>
    <w:rsid w:val="00652806"/>
    <w:rsid w:val="006553C2"/>
    <w:rsid w:val="00660C80"/>
    <w:rsid w:val="006647F6"/>
    <w:rsid w:val="006669D9"/>
    <w:rsid w:val="006678C2"/>
    <w:rsid w:val="00667EEF"/>
    <w:rsid w:val="006713E7"/>
    <w:rsid w:val="00673059"/>
    <w:rsid w:val="006735C3"/>
    <w:rsid w:val="00673930"/>
    <w:rsid w:val="00673DE7"/>
    <w:rsid w:val="006751FD"/>
    <w:rsid w:val="006768FD"/>
    <w:rsid w:val="006800B8"/>
    <w:rsid w:val="006825AF"/>
    <w:rsid w:val="00683789"/>
    <w:rsid w:val="0068650D"/>
    <w:rsid w:val="0069251F"/>
    <w:rsid w:val="00693A90"/>
    <w:rsid w:val="0069674D"/>
    <w:rsid w:val="006A1B7A"/>
    <w:rsid w:val="006A2728"/>
    <w:rsid w:val="006B0EAA"/>
    <w:rsid w:val="006B382E"/>
    <w:rsid w:val="006C15E7"/>
    <w:rsid w:val="006C2C9E"/>
    <w:rsid w:val="006C6382"/>
    <w:rsid w:val="006D1C64"/>
    <w:rsid w:val="006D25A9"/>
    <w:rsid w:val="006D4C63"/>
    <w:rsid w:val="006D50A1"/>
    <w:rsid w:val="006D5C37"/>
    <w:rsid w:val="006D6C71"/>
    <w:rsid w:val="006E20C7"/>
    <w:rsid w:val="006E4E12"/>
    <w:rsid w:val="006F56EA"/>
    <w:rsid w:val="006F57D1"/>
    <w:rsid w:val="0070008B"/>
    <w:rsid w:val="00702808"/>
    <w:rsid w:val="00703682"/>
    <w:rsid w:val="00703A4B"/>
    <w:rsid w:val="00703ADF"/>
    <w:rsid w:val="00703F33"/>
    <w:rsid w:val="00704656"/>
    <w:rsid w:val="007049F6"/>
    <w:rsid w:val="00710AD6"/>
    <w:rsid w:val="00714057"/>
    <w:rsid w:val="007203E4"/>
    <w:rsid w:val="00732F1F"/>
    <w:rsid w:val="00736686"/>
    <w:rsid w:val="00745FBB"/>
    <w:rsid w:val="00751D66"/>
    <w:rsid w:val="00754094"/>
    <w:rsid w:val="00754496"/>
    <w:rsid w:val="00761C7F"/>
    <w:rsid w:val="00763C17"/>
    <w:rsid w:val="007651D2"/>
    <w:rsid w:val="00766AB0"/>
    <w:rsid w:val="00767552"/>
    <w:rsid w:val="007739F6"/>
    <w:rsid w:val="007758D0"/>
    <w:rsid w:val="00776114"/>
    <w:rsid w:val="00777349"/>
    <w:rsid w:val="00785F6C"/>
    <w:rsid w:val="0079182B"/>
    <w:rsid w:val="00793C0A"/>
    <w:rsid w:val="00796283"/>
    <w:rsid w:val="00797B5E"/>
    <w:rsid w:val="007A4A75"/>
    <w:rsid w:val="007A5239"/>
    <w:rsid w:val="007B1146"/>
    <w:rsid w:val="007B3665"/>
    <w:rsid w:val="007B696B"/>
    <w:rsid w:val="007B77A9"/>
    <w:rsid w:val="007C1655"/>
    <w:rsid w:val="007C4746"/>
    <w:rsid w:val="007C58C3"/>
    <w:rsid w:val="007C5D17"/>
    <w:rsid w:val="007C6DA4"/>
    <w:rsid w:val="007D03E4"/>
    <w:rsid w:val="007E0CC9"/>
    <w:rsid w:val="007E295A"/>
    <w:rsid w:val="007E3E21"/>
    <w:rsid w:val="007E5C79"/>
    <w:rsid w:val="007E5D2D"/>
    <w:rsid w:val="007E6F94"/>
    <w:rsid w:val="007F13F0"/>
    <w:rsid w:val="007F4434"/>
    <w:rsid w:val="007F52A2"/>
    <w:rsid w:val="007F5B01"/>
    <w:rsid w:val="007F64E9"/>
    <w:rsid w:val="00804E4C"/>
    <w:rsid w:val="008059FF"/>
    <w:rsid w:val="00805AE6"/>
    <w:rsid w:val="0081007E"/>
    <w:rsid w:val="00811C74"/>
    <w:rsid w:val="00811E6E"/>
    <w:rsid w:val="008120DB"/>
    <w:rsid w:val="00812612"/>
    <w:rsid w:val="008165E7"/>
    <w:rsid w:val="00817ED9"/>
    <w:rsid w:val="00820D38"/>
    <w:rsid w:val="008219AE"/>
    <w:rsid w:val="00823DCA"/>
    <w:rsid w:val="00824DFA"/>
    <w:rsid w:val="00827E0E"/>
    <w:rsid w:val="0083101B"/>
    <w:rsid w:val="0083453F"/>
    <w:rsid w:val="00835D7D"/>
    <w:rsid w:val="008366C3"/>
    <w:rsid w:val="00836DDD"/>
    <w:rsid w:val="00837EB0"/>
    <w:rsid w:val="00840059"/>
    <w:rsid w:val="00845CDA"/>
    <w:rsid w:val="00856C46"/>
    <w:rsid w:val="00861F86"/>
    <w:rsid w:val="00866960"/>
    <w:rsid w:val="008705A2"/>
    <w:rsid w:val="00871611"/>
    <w:rsid w:val="00872B2B"/>
    <w:rsid w:val="00876801"/>
    <w:rsid w:val="00877381"/>
    <w:rsid w:val="00880546"/>
    <w:rsid w:val="0088363F"/>
    <w:rsid w:val="008852A8"/>
    <w:rsid w:val="00887A6E"/>
    <w:rsid w:val="008901FA"/>
    <w:rsid w:val="008918A7"/>
    <w:rsid w:val="00894E52"/>
    <w:rsid w:val="00895CB0"/>
    <w:rsid w:val="008967F7"/>
    <w:rsid w:val="008A2618"/>
    <w:rsid w:val="008A2BBA"/>
    <w:rsid w:val="008A2F0E"/>
    <w:rsid w:val="008A4154"/>
    <w:rsid w:val="008A567E"/>
    <w:rsid w:val="008B66D7"/>
    <w:rsid w:val="008C0161"/>
    <w:rsid w:val="008C20E1"/>
    <w:rsid w:val="008C31E8"/>
    <w:rsid w:val="008C557C"/>
    <w:rsid w:val="008D0494"/>
    <w:rsid w:val="008D125F"/>
    <w:rsid w:val="008D2D15"/>
    <w:rsid w:val="008D4E62"/>
    <w:rsid w:val="008E5421"/>
    <w:rsid w:val="008F109C"/>
    <w:rsid w:val="008F2398"/>
    <w:rsid w:val="008F251D"/>
    <w:rsid w:val="008F526D"/>
    <w:rsid w:val="008F7DB7"/>
    <w:rsid w:val="009114DA"/>
    <w:rsid w:val="009121CE"/>
    <w:rsid w:val="00912245"/>
    <w:rsid w:val="009149F8"/>
    <w:rsid w:val="00915DA5"/>
    <w:rsid w:val="00916996"/>
    <w:rsid w:val="00917107"/>
    <w:rsid w:val="009201A0"/>
    <w:rsid w:val="0092630C"/>
    <w:rsid w:val="009264AF"/>
    <w:rsid w:val="00926722"/>
    <w:rsid w:val="0092692B"/>
    <w:rsid w:val="009278B6"/>
    <w:rsid w:val="00937DE2"/>
    <w:rsid w:val="00940052"/>
    <w:rsid w:val="00940AD7"/>
    <w:rsid w:val="00940FE2"/>
    <w:rsid w:val="00946817"/>
    <w:rsid w:val="009524FE"/>
    <w:rsid w:val="0095781E"/>
    <w:rsid w:val="00962E12"/>
    <w:rsid w:val="009653FE"/>
    <w:rsid w:val="009705ED"/>
    <w:rsid w:val="00972B0C"/>
    <w:rsid w:val="00974A00"/>
    <w:rsid w:val="00975EC4"/>
    <w:rsid w:val="009830FA"/>
    <w:rsid w:val="009855F2"/>
    <w:rsid w:val="00986808"/>
    <w:rsid w:val="009A1A58"/>
    <w:rsid w:val="009A2F26"/>
    <w:rsid w:val="009A36AA"/>
    <w:rsid w:val="009A3EBA"/>
    <w:rsid w:val="009A4447"/>
    <w:rsid w:val="009A6A8E"/>
    <w:rsid w:val="009C00E5"/>
    <w:rsid w:val="009C1972"/>
    <w:rsid w:val="009C29CB"/>
    <w:rsid w:val="009C4B8F"/>
    <w:rsid w:val="009C5C56"/>
    <w:rsid w:val="009D1CD2"/>
    <w:rsid w:val="009D4A9B"/>
    <w:rsid w:val="009D759B"/>
    <w:rsid w:val="009E1FC4"/>
    <w:rsid w:val="009E71FA"/>
    <w:rsid w:val="009F293E"/>
    <w:rsid w:val="009F2ABB"/>
    <w:rsid w:val="009F539E"/>
    <w:rsid w:val="00A027C8"/>
    <w:rsid w:val="00A02FF7"/>
    <w:rsid w:val="00A03D3C"/>
    <w:rsid w:val="00A0464A"/>
    <w:rsid w:val="00A0541A"/>
    <w:rsid w:val="00A05979"/>
    <w:rsid w:val="00A066A7"/>
    <w:rsid w:val="00A07B5F"/>
    <w:rsid w:val="00A12459"/>
    <w:rsid w:val="00A12FD7"/>
    <w:rsid w:val="00A13836"/>
    <w:rsid w:val="00A224FE"/>
    <w:rsid w:val="00A3065F"/>
    <w:rsid w:val="00A327A3"/>
    <w:rsid w:val="00A3768A"/>
    <w:rsid w:val="00A41E3B"/>
    <w:rsid w:val="00A42A26"/>
    <w:rsid w:val="00A46A73"/>
    <w:rsid w:val="00A510F0"/>
    <w:rsid w:val="00A5439B"/>
    <w:rsid w:val="00A54F9B"/>
    <w:rsid w:val="00A57B15"/>
    <w:rsid w:val="00A618D8"/>
    <w:rsid w:val="00A62ADF"/>
    <w:rsid w:val="00A635BB"/>
    <w:rsid w:val="00A66777"/>
    <w:rsid w:val="00A7123C"/>
    <w:rsid w:val="00A804E6"/>
    <w:rsid w:val="00A80987"/>
    <w:rsid w:val="00A86796"/>
    <w:rsid w:val="00AA03B7"/>
    <w:rsid w:val="00AA10A8"/>
    <w:rsid w:val="00AA39C9"/>
    <w:rsid w:val="00AA6CB3"/>
    <w:rsid w:val="00AB0A82"/>
    <w:rsid w:val="00AB263B"/>
    <w:rsid w:val="00AB3587"/>
    <w:rsid w:val="00AB3C6C"/>
    <w:rsid w:val="00AB7234"/>
    <w:rsid w:val="00AC6811"/>
    <w:rsid w:val="00AC7A56"/>
    <w:rsid w:val="00AD324C"/>
    <w:rsid w:val="00AD492D"/>
    <w:rsid w:val="00AE3CE3"/>
    <w:rsid w:val="00AE5358"/>
    <w:rsid w:val="00AE5FE5"/>
    <w:rsid w:val="00AF063A"/>
    <w:rsid w:val="00B009E2"/>
    <w:rsid w:val="00B0141F"/>
    <w:rsid w:val="00B05F24"/>
    <w:rsid w:val="00B10B15"/>
    <w:rsid w:val="00B1312F"/>
    <w:rsid w:val="00B13164"/>
    <w:rsid w:val="00B16A4C"/>
    <w:rsid w:val="00B20A4A"/>
    <w:rsid w:val="00B21007"/>
    <w:rsid w:val="00B24A2E"/>
    <w:rsid w:val="00B26A9F"/>
    <w:rsid w:val="00B3144B"/>
    <w:rsid w:val="00B323C8"/>
    <w:rsid w:val="00B34846"/>
    <w:rsid w:val="00B50EC3"/>
    <w:rsid w:val="00B51DEF"/>
    <w:rsid w:val="00B65813"/>
    <w:rsid w:val="00B67090"/>
    <w:rsid w:val="00B67F1A"/>
    <w:rsid w:val="00B8156C"/>
    <w:rsid w:val="00B83010"/>
    <w:rsid w:val="00B84799"/>
    <w:rsid w:val="00B90940"/>
    <w:rsid w:val="00BA266A"/>
    <w:rsid w:val="00BA4F7A"/>
    <w:rsid w:val="00BA5987"/>
    <w:rsid w:val="00BA767C"/>
    <w:rsid w:val="00BB1C4A"/>
    <w:rsid w:val="00BB7576"/>
    <w:rsid w:val="00BC0386"/>
    <w:rsid w:val="00BD296B"/>
    <w:rsid w:val="00BD4A7B"/>
    <w:rsid w:val="00BE2E1C"/>
    <w:rsid w:val="00BE33C0"/>
    <w:rsid w:val="00BF0B4A"/>
    <w:rsid w:val="00BF1EE0"/>
    <w:rsid w:val="00BF6BD8"/>
    <w:rsid w:val="00C00E21"/>
    <w:rsid w:val="00C074FB"/>
    <w:rsid w:val="00C102F2"/>
    <w:rsid w:val="00C1082B"/>
    <w:rsid w:val="00C13A1D"/>
    <w:rsid w:val="00C15262"/>
    <w:rsid w:val="00C1603C"/>
    <w:rsid w:val="00C22C69"/>
    <w:rsid w:val="00C25A2A"/>
    <w:rsid w:val="00C34106"/>
    <w:rsid w:val="00C34903"/>
    <w:rsid w:val="00C36D3C"/>
    <w:rsid w:val="00C537D3"/>
    <w:rsid w:val="00C54E88"/>
    <w:rsid w:val="00C55BAF"/>
    <w:rsid w:val="00C5781A"/>
    <w:rsid w:val="00C6205C"/>
    <w:rsid w:val="00C65C3E"/>
    <w:rsid w:val="00C66B0B"/>
    <w:rsid w:val="00C75A20"/>
    <w:rsid w:val="00C7615B"/>
    <w:rsid w:val="00C80DF5"/>
    <w:rsid w:val="00C81D40"/>
    <w:rsid w:val="00C82137"/>
    <w:rsid w:val="00C84AC1"/>
    <w:rsid w:val="00C92E37"/>
    <w:rsid w:val="00C96256"/>
    <w:rsid w:val="00CA5979"/>
    <w:rsid w:val="00CC0155"/>
    <w:rsid w:val="00CC1A2F"/>
    <w:rsid w:val="00CC753A"/>
    <w:rsid w:val="00CD057C"/>
    <w:rsid w:val="00CD4EDB"/>
    <w:rsid w:val="00CE0B5D"/>
    <w:rsid w:val="00CE11A7"/>
    <w:rsid w:val="00CE3C86"/>
    <w:rsid w:val="00CE4745"/>
    <w:rsid w:val="00D009BE"/>
    <w:rsid w:val="00D01849"/>
    <w:rsid w:val="00D054D0"/>
    <w:rsid w:val="00D10610"/>
    <w:rsid w:val="00D1093F"/>
    <w:rsid w:val="00D13F4F"/>
    <w:rsid w:val="00D16ADA"/>
    <w:rsid w:val="00D16FFE"/>
    <w:rsid w:val="00D20227"/>
    <w:rsid w:val="00D22144"/>
    <w:rsid w:val="00D22EF3"/>
    <w:rsid w:val="00D31972"/>
    <w:rsid w:val="00D31F42"/>
    <w:rsid w:val="00D32CB3"/>
    <w:rsid w:val="00D352FB"/>
    <w:rsid w:val="00D35F65"/>
    <w:rsid w:val="00D47068"/>
    <w:rsid w:val="00D47D6C"/>
    <w:rsid w:val="00D5254E"/>
    <w:rsid w:val="00D52CFE"/>
    <w:rsid w:val="00D531EC"/>
    <w:rsid w:val="00D5511E"/>
    <w:rsid w:val="00D57561"/>
    <w:rsid w:val="00D60EF4"/>
    <w:rsid w:val="00D61FC5"/>
    <w:rsid w:val="00D654EA"/>
    <w:rsid w:val="00D82CC7"/>
    <w:rsid w:val="00D86429"/>
    <w:rsid w:val="00D872BE"/>
    <w:rsid w:val="00D9448A"/>
    <w:rsid w:val="00D9546B"/>
    <w:rsid w:val="00D9678E"/>
    <w:rsid w:val="00DA56A8"/>
    <w:rsid w:val="00DB3F9B"/>
    <w:rsid w:val="00DC0AAF"/>
    <w:rsid w:val="00DC74E7"/>
    <w:rsid w:val="00DC7682"/>
    <w:rsid w:val="00DD4BC9"/>
    <w:rsid w:val="00DD4DDD"/>
    <w:rsid w:val="00DE4FD7"/>
    <w:rsid w:val="00DF0DD5"/>
    <w:rsid w:val="00DF5A96"/>
    <w:rsid w:val="00DF5EE2"/>
    <w:rsid w:val="00E02F45"/>
    <w:rsid w:val="00E0387A"/>
    <w:rsid w:val="00E04171"/>
    <w:rsid w:val="00E06881"/>
    <w:rsid w:val="00E13AF2"/>
    <w:rsid w:val="00E142C4"/>
    <w:rsid w:val="00E16089"/>
    <w:rsid w:val="00E20746"/>
    <w:rsid w:val="00E243ED"/>
    <w:rsid w:val="00E273FB"/>
    <w:rsid w:val="00E276CC"/>
    <w:rsid w:val="00E34E66"/>
    <w:rsid w:val="00E4023A"/>
    <w:rsid w:val="00E45D8C"/>
    <w:rsid w:val="00E5277B"/>
    <w:rsid w:val="00E5567B"/>
    <w:rsid w:val="00E556E1"/>
    <w:rsid w:val="00E62E3B"/>
    <w:rsid w:val="00E63531"/>
    <w:rsid w:val="00E63CC0"/>
    <w:rsid w:val="00E641B5"/>
    <w:rsid w:val="00E72369"/>
    <w:rsid w:val="00E724CF"/>
    <w:rsid w:val="00E77857"/>
    <w:rsid w:val="00E83313"/>
    <w:rsid w:val="00E840E9"/>
    <w:rsid w:val="00E864C7"/>
    <w:rsid w:val="00E91A57"/>
    <w:rsid w:val="00E91ECC"/>
    <w:rsid w:val="00EA26BA"/>
    <w:rsid w:val="00EA2F8E"/>
    <w:rsid w:val="00EA30D8"/>
    <w:rsid w:val="00EA7385"/>
    <w:rsid w:val="00EB3158"/>
    <w:rsid w:val="00EB7222"/>
    <w:rsid w:val="00EC20B4"/>
    <w:rsid w:val="00EC4289"/>
    <w:rsid w:val="00EC5876"/>
    <w:rsid w:val="00EC6433"/>
    <w:rsid w:val="00EC69F7"/>
    <w:rsid w:val="00ED0E3C"/>
    <w:rsid w:val="00ED4DA4"/>
    <w:rsid w:val="00ED5E9A"/>
    <w:rsid w:val="00ED717E"/>
    <w:rsid w:val="00ED7907"/>
    <w:rsid w:val="00EE15C9"/>
    <w:rsid w:val="00EE22DC"/>
    <w:rsid w:val="00EE2695"/>
    <w:rsid w:val="00EE2A1C"/>
    <w:rsid w:val="00EE4B3E"/>
    <w:rsid w:val="00EF080A"/>
    <w:rsid w:val="00EF1482"/>
    <w:rsid w:val="00EF199C"/>
    <w:rsid w:val="00EF214B"/>
    <w:rsid w:val="00EF4BF2"/>
    <w:rsid w:val="00EF619D"/>
    <w:rsid w:val="00F00A7E"/>
    <w:rsid w:val="00F0194F"/>
    <w:rsid w:val="00F13D50"/>
    <w:rsid w:val="00F15C51"/>
    <w:rsid w:val="00F16A4D"/>
    <w:rsid w:val="00F2080F"/>
    <w:rsid w:val="00F21065"/>
    <w:rsid w:val="00F32451"/>
    <w:rsid w:val="00F35DF6"/>
    <w:rsid w:val="00F3659A"/>
    <w:rsid w:val="00F45975"/>
    <w:rsid w:val="00F5072E"/>
    <w:rsid w:val="00F53E3E"/>
    <w:rsid w:val="00F6061A"/>
    <w:rsid w:val="00F60F28"/>
    <w:rsid w:val="00F64FF2"/>
    <w:rsid w:val="00F72A29"/>
    <w:rsid w:val="00F75884"/>
    <w:rsid w:val="00F7777C"/>
    <w:rsid w:val="00F87036"/>
    <w:rsid w:val="00F96E72"/>
    <w:rsid w:val="00FA51F4"/>
    <w:rsid w:val="00FA5A0F"/>
    <w:rsid w:val="00FB1295"/>
    <w:rsid w:val="00FB1384"/>
    <w:rsid w:val="00FB45B1"/>
    <w:rsid w:val="00FB485E"/>
    <w:rsid w:val="00FB593B"/>
    <w:rsid w:val="00FB6A37"/>
    <w:rsid w:val="00FB6C65"/>
    <w:rsid w:val="00FB6D84"/>
    <w:rsid w:val="00FC3A11"/>
    <w:rsid w:val="00FC7B2B"/>
    <w:rsid w:val="00FD1326"/>
    <w:rsid w:val="00FD3118"/>
    <w:rsid w:val="00FD4327"/>
    <w:rsid w:val="00FD7C48"/>
    <w:rsid w:val="00FE0CA6"/>
    <w:rsid w:val="00FE2CC2"/>
    <w:rsid w:val="00FE758B"/>
    <w:rsid w:val="00FE7E9E"/>
    <w:rsid w:val="00FF280F"/>
    <w:rsid w:val="01C761D7"/>
    <w:rsid w:val="0A821835"/>
    <w:rsid w:val="1A27385F"/>
    <w:rsid w:val="1E564AE7"/>
    <w:rsid w:val="23A53DF4"/>
    <w:rsid w:val="3AC802EF"/>
    <w:rsid w:val="409749EB"/>
    <w:rsid w:val="4162149D"/>
    <w:rsid w:val="46E1611B"/>
    <w:rsid w:val="58A81A34"/>
    <w:rsid w:val="5A1A070F"/>
    <w:rsid w:val="63BE16D8"/>
    <w:rsid w:val="63DF7EBB"/>
    <w:rsid w:val="68D0643D"/>
    <w:rsid w:val="73C03C7E"/>
    <w:rsid w:val="7B061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C11C"/>
  <w15:docId w15:val="{D7BF8051-0197-43F1-84C8-0128A01A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qFormat/>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 w:type="table" w:customStyle="1" w:styleId="11">
    <w:name w:val="网格型1"/>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7BA5-BCFF-4645-821A-1562106E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boya zhang</cp:lastModifiedBy>
  <cp:revision>6</cp:revision>
  <cp:lastPrinted>2016-12-28T08:39:00Z</cp:lastPrinted>
  <dcterms:created xsi:type="dcterms:W3CDTF">2025-08-15T08:11:00Z</dcterms:created>
  <dcterms:modified xsi:type="dcterms:W3CDTF">2025-08-26T06:47:00Z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4E0B4CB7D42A4F6DA7F5DD4A2C3049FC</vt:lpwstr>
  </property>
  <property fmtid="{D5CDD505-2E9C-101B-9397-08002B2CF9AE}" pid="4" name="KSOTemplateDocerSaveRecord">
    <vt:lpwstr>eyJoZGlkIjoiNGM3YWY1YmM5NDc3Y2ZlNDMwYTgwNzM3M2VhMmU4Y2IiLCJ1c2VySWQiOiIyNTgzNjc1NDQifQ==</vt:lpwstr>
  </property>
</Properties>
</file>