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11014" w14:textId="125F7FBB" w:rsidR="00292756" w:rsidRDefault="00D32CB3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证券代码：603858         证券简称：</w:t>
      </w:r>
      <w:r>
        <w:rPr>
          <w:rFonts w:asciiTheme="minorEastAsia" w:eastAsiaTheme="minorEastAsia" w:hAnsiTheme="minorEastAsia" w:hint="eastAsia"/>
          <w:sz w:val="24"/>
          <w:szCs w:val="24"/>
        </w:rPr>
        <w:t>步长</w:t>
      </w:r>
      <w:r>
        <w:rPr>
          <w:rFonts w:asciiTheme="minorEastAsia" w:eastAsiaTheme="minorEastAsia" w:hAnsiTheme="minorEastAsia"/>
          <w:sz w:val="24"/>
          <w:szCs w:val="24"/>
        </w:rPr>
        <w:t>制药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1D2865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公告编号：202</w:t>
      </w:r>
      <w:r w:rsidR="00FB485B"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-</w:t>
      </w:r>
      <w:r w:rsidR="00CC0349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CC0349">
        <w:rPr>
          <w:rFonts w:asciiTheme="minorEastAsia" w:eastAsiaTheme="minorEastAsia" w:hAnsiTheme="minorEastAsia"/>
          <w:sz w:val="24"/>
          <w:szCs w:val="24"/>
        </w:rPr>
        <w:t>58</w:t>
      </w:r>
      <w:bookmarkStart w:id="0" w:name="_GoBack"/>
      <w:bookmarkEnd w:id="0"/>
    </w:p>
    <w:p w14:paraId="204299BF" w14:textId="77777777" w:rsidR="00292756" w:rsidRDefault="00D32CB3">
      <w:pPr>
        <w:spacing w:beforeLines="50" w:before="120" w:afterLines="50" w:after="120" w:line="360" w:lineRule="auto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山东步长制药股份有限公司</w:t>
      </w:r>
    </w:p>
    <w:p w14:paraId="3610FCFE" w14:textId="7EB9FC5E" w:rsidR="00292756" w:rsidRDefault="00D47068">
      <w:pPr>
        <w:spacing w:beforeLines="50" w:before="120" w:afterLines="50" w:after="120" w:line="360" w:lineRule="auto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D47068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关于</w:t>
      </w:r>
      <w:r w:rsidR="00FB485B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202</w:t>
      </w:r>
      <w:r w:rsidR="00FB485B">
        <w:rPr>
          <w:rFonts w:asciiTheme="majorEastAsia" w:eastAsiaTheme="majorEastAsia" w:hAnsiTheme="majorEastAsia"/>
          <w:b/>
          <w:color w:val="FF0000"/>
          <w:sz w:val="32"/>
          <w:szCs w:val="32"/>
        </w:rPr>
        <w:t>5</w:t>
      </w:r>
      <w:r w:rsidRPr="00D47068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年度“提质增效重回报”行动方案的公告</w:t>
      </w:r>
    </w:p>
    <w:p w14:paraId="0CBC6790" w14:textId="77777777" w:rsidR="00292756" w:rsidRDefault="00D32CB3">
      <w:pPr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32DDC419" w14:textId="77777777" w:rsidR="00292756" w:rsidRDefault="00292756">
      <w:pPr>
        <w:pStyle w:val="af"/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14:paraId="0E9C740E" w14:textId="2A47D29D" w:rsidR="00FB485B" w:rsidRPr="00FB485B" w:rsidRDefault="00FB485B" w:rsidP="00931184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山东步长制药股份有限公司（以下简称“步长制药”或“公司”）为深入贯彻党的二十大和中央金融工作会议精神，落实国务院《关于进一步提高上市公司质量的意见》要求，积极响应上海证</w:t>
      </w:r>
      <w:r w:rsidR="00362410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券交易所《关于开展沪市公司“提质增效重回报”专项行动的倡议》《“</w:t>
      </w: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提质增效重回报”专项行动一本通》等相关要求，以投资者是市场之本，上市公司为市场之基，为维护全体股东的利益，基于对公司未来发展的信心以及对公司长期价值的认可，特制定《2025年度“提质增效重回报”行动方案》（以下简称“《行动方案》”），具体举措如下：</w:t>
      </w:r>
    </w:p>
    <w:p w14:paraId="231CF85B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一、聚焦经营主业，坚持高质量发展</w:t>
      </w:r>
    </w:p>
    <w:p w14:paraId="29708889" w14:textId="77777777" w:rsidR="00FB485B" w:rsidRPr="00FB485B" w:rsidRDefault="00FB485B" w:rsidP="00931184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致力于成为中国最优秀的制药企业之一，主要从事中成药的研发、生产和销售，同时也在化药、生物药及疫苗等领域进军与扩张。公司始终坚持“中国的强生、世界的步长”及“以中药为基础，向生物药、疫苗等医药高科技行业扩张”的战略与“聚焦大行业、培育大品种”的发展方向。</w:t>
      </w:r>
    </w:p>
    <w:p w14:paraId="5D32C290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2024年，公司实现营业总收入1,100,579.49万元。其中，心脑血管产品作为公司主要业务，实现营业收入702,916.68万元，占营业总收入的63.87%；医疗器械产品实现营业收入92,503.59万元，占营业总收入的8.40%；消化类产品实现营业收入90,390.94万元，占营业总收入的8.21%；泌尿产品实现营业收入58,552.80万元，占营业总收入的5.32%；呼吸类产品实现营业收入55,131.46万元，占营业总收入的5.01%；妇科产品实现营业收入50,398.27万元，占营业总收入的4.58%。</w:t>
      </w:r>
    </w:p>
    <w:p w14:paraId="7F5F037F" w14:textId="4016B2F5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规划期内，公司将继续以中药为基础，持续向化药、生物药、疫苗等医药高</w:t>
      </w:r>
      <w:r w:rsidR="00362410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科技行业扩张，持续专注主营业务，围绕公司中</w:t>
      </w: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药、化药、生物药与疫苗四大领</w:t>
      </w: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lastRenderedPageBreak/>
        <w:t>域，在现有业务基础上持续强化经营效能，持续提升公司核心竞争力，积极推进全球化布局，提高市场占有率。具体包括以下几个方面：</w:t>
      </w:r>
    </w:p>
    <w:p w14:paraId="7B1622A2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（一）坚持“聚焦大行业、培育大品种”战略</w:t>
      </w:r>
    </w:p>
    <w:p w14:paraId="1B3B98AA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力争成为全球最大的天然药、植物药企业之一，继续保持专利中药的头部企业地位为目标，持续聚焦医药大行业，大品种，并在此基础上迅速向生物制药、疫苗等高科技医药产业扩张。公司利用医药行业并购中的优势，围绕大行业、大品种进行产业并购和整合，重视多剂型战略的梯次发展。</w:t>
      </w:r>
    </w:p>
    <w:p w14:paraId="585C7651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对现有产品保持持续的研发力量与投入，旨在进一步挖掘已有产品潜力、延长产品生命周期。其中，公司已推进脑心通胶囊、丹红注射液的循证医学研究，红核妇洁洗液、康妇炎胶囊、头痛宁胶囊的二次开发亦在持续进行；在注射液剂型的布局中，公司初步完成心脑血管病、肿瘤、骨质疏松针剂的中药注射液、化药注射液的互补，以应对市场与政策的变化；同时，公司积极布局口服液、胶囊、片剂等其他剂型。</w:t>
      </w:r>
    </w:p>
    <w:p w14:paraId="6E33E2FB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此外，公司通过四川泸州生物制药基地的投资，整合中医药行业深厚的历史积淀以及丰富的药材资源与公司在理论、品牌、研发、生产及销售等方面的综合优势，进一步提高公司在心脑血管和妇科用药领域的优势，并向糖尿病、抗肿瘤、泌尿系统、消化系统、呼吸系统等大病种治疗领域扩展，形成相互补充、相互渗透的产品群，增强公司的持续成长能力。</w:t>
      </w:r>
    </w:p>
    <w:p w14:paraId="5797A40E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（二）多类型药品协同研发，完善大健康产业链</w:t>
      </w:r>
    </w:p>
    <w:p w14:paraId="6F7D8413" w14:textId="67AE0812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在中药、化药、生物药及疫苗多领域进行研发推进。在中药领域，公司以脑心同治论为指导，将创新组方与现代制药工艺和质控标准相结合，在长期大量临床实践中逐步形成了互补的多靶点联合用药方案，强化治疗效果；在化药领域，在原研药中积极投入，积极筛选具有靶点明确的化药，布局化药的先进剂型；在生物药领域，针对肿瘤、骨质疏松等大病种、长期病、慢性病等领域，持续进行生物制品的研发与临床实验，截至2025年6月30日，已有12项生物制品（即治疗用生物制品）正在研发，部分项目已提交NDA申请，覆盖肿瘤、血液疾病和骨质疏松等治疗领域；在疫苗（即预防用生物制品）领域，公司已拥有4项疫苗产品，另有5</w:t>
      </w:r>
      <w:r w:rsidR="00A34C40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项疫苗产品正在研发中。</w:t>
      </w:r>
    </w:p>
    <w:p w14:paraId="3D40C8AF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lastRenderedPageBreak/>
        <w:t>为完善公司大健康产业链，在细分管理的基础上获取市场竞争优势，实现“中国的强生，世界的步长”的规划，促进业务发展，公司通过联合相关业务人员共同投资设立控股子公司，主要涉及医疗器械销售、化妆品销售、消毒产品销售、保健用品销售、保健食品销售等业务，旨在优化股权投资风险管控机制，强化核心人员的风险共担与激励效应，推动经营者与所有者利益深度绑定，实现权责利统一。</w:t>
      </w:r>
    </w:p>
    <w:p w14:paraId="795FBE1C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 xml:space="preserve">（三）产融结合做强主业，培育公司新的增长点 </w:t>
      </w:r>
    </w:p>
    <w:p w14:paraId="3758D951" w14:textId="2EFF79AD" w:rsidR="00FB485B" w:rsidRPr="00FB485B" w:rsidRDefault="00FB485B" w:rsidP="00931184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规划期内，公司将在保障日常经营现金流动性需求的同时，审慎灵活运用资金，积极寻找合适的收购目标或投资机会，保持公司在主业中的核心竞争力，持续布局化药、生物药、疫苗等医药高科技行业，增强产业协同性，提高市场占有率，助力公司实现高质量发展。</w:t>
      </w:r>
    </w:p>
    <w:p w14:paraId="6695BBB6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二、强化研发战略，推动产品矩阵科学布局</w:t>
      </w:r>
    </w:p>
    <w:p w14:paraId="194F134E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将科技作为发展的永恒动力，坚持高、中、低和长、中、短为新产品研发战略，以院士为研发顾问团队，与国内外一流的研发团队有着广泛的合作，形成了“生产一代，储备一代，研制一代，构思一代”的良性循环研发模式，在心脑血管药、抗肿瘤药、抗感染药、妇科药、消化系统药、降糖药等常见病和多发病治疗药物的研发方面储备了多层次、宽领域的在研项目。</w:t>
      </w:r>
    </w:p>
    <w:p w14:paraId="09A4572E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以中药、小分子化药和生物药作为研发重点，截至2025年6月30日，在中药、小分子化药和生物药作为研发重点的指引下，公司拥有在研产品209个。公司重视研究成果及知识产权的保护工作，公司主导产品脑心通胶囊、稳心颗粒、丹红注射液、前列舒通胶囊、头痛宁胶囊、康妇炎胶囊、消乳散结胶囊、通脉降糖胶囊等均为独家品种。2025年上半年，公司新增专利申请17件，成功获得专利授权6件，其中发明专利申请6件，授权发明专利2件。随着研发的进一步深入，公司还将拥有更多的专利产品。针对这些专利产品，公司亦在不断研发新的专利，以延长保护期。</w:t>
      </w:r>
    </w:p>
    <w:p w14:paraId="00B129E6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规划期内，公司将继续坚持以自主技术创新和合作研发、委托研发等多方式并举的研发模式，在自主技术创新的基础上，加大对新产品技术的研发投入、加强团队稳定性与人才培养工作、与优势医药研发企业和医药知名高校深度合作。</w:t>
      </w: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lastRenderedPageBreak/>
        <w:t>具体的工作计划如下：</w:t>
      </w:r>
    </w:p>
    <w:p w14:paraId="27A11A26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（一）提高研发投入力度，合理规划产品矩阵</w:t>
      </w:r>
    </w:p>
    <w:p w14:paraId="6A74E31E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规划期内，公司将持续关注中药、化药、生物药与疫苗等相关领域发展，保持同等的研发水平，积极推动在研项目的进程，提前布局核心关键技术知识产权保护，以进一步扩大产品覆盖面、市场竞争力以及盈利能力。</w:t>
      </w:r>
    </w:p>
    <w:p w14:paraId="2139EDE6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（二）优化人才激励制度，激发科研团队活力</w:t>
      </w:r>
    </w:p>
    <w:p w14:paraId="4668533E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规划期内，公司将不断加强高质量研发人才团队建设，持续吸引优秀的技术人员加入，打造高质量的研发人才团队，以支持公司在医药领域的不断创新。为了保持科研团队稳定，充分调动公司核心团队的积极性，有效地将股东利益、公司利益和核心团队个人利益结合，公司也将不断探索和完善中长期人才激励机制，结合公司发展和外部环境择机推出核心人才的激励计划。</w:t>
      </w:r>
    </w:p>
    <w:p w14:paraId="2B4E3E54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（三）强化产学研合作，增强技术研发能力</w:t>
      </w:r>
    </w:p>
    <w:p w14:paraId="3B7868EB" w14:textId="02C5C989" w:rsidR="00FB485B" w:rsidRPr="00FB485B" w:rsidRDefault="00FB485B" w:rsidP="00931184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规划期内，公司将在已有的研究平台基础上，推进生物制药研发机构和药物中试基地建设，进一步加强各研发平台与新药品种的紧密结合，增强研发技术通用性，缩短新药研发周期、降低研发风险。公司将进一步加强与中国中医科学院、中国人民解放军空军军医大学、中国药科大学、北京中医药大学、天津中医药大学等科研机构及专业高校的合作与交流，充分整合医药研发资源，加强产学研结合。</w:t>
      </w:r>
    </w:p>
    <w:p w14:paraId="155DD937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三、创新驱动产业高质量发展</w:t>
      </w:r>
    </w:p>
    <w:p w14:paraId="4C62BE4A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始终将守正创新视为己任，积极融入新兴技术提升药品智能制造水平，在药材规范化种植与溯源体系、智能装备研发验证、智能制造场景搭建、智慧管控平台建设、中药药物警戒系统构建等全流程开展技术创新应用，种植端、生产端、质控端的系统性产业创新应用模式逐步覆盖，产品质量管控和生产效率显著提升，全面打造中药生产装备智能化、制药过程连续化、资源利用集约化、绿色制造工程化的“四化”中药绿色智能制造技术模式，实现从“制造”到“智造”的跨越式发展。规划期内，公司在新质生产力方面的工作重点和计划如下：</w:t>
      </w:r>
    </w:p>
    <w:p w14:paraId="032AF647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（一）筑牢产业链根基，深化绿色智造优势</w:t>
      </w:r>
    </w:p>
    <w:p w14:paraId="2236A9A8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lastRenderedPageBreak/>
        <w:t>关键药材品质保障：持续强化信息化技术在丹参、红花、甘松等关键药材的品质一体化管控，在中药材种子筛选、种苗繁育、绿色生态规范化种植、半野生抚育等关键技术上加大投入，巩固“种植-采收-加工-仓储-流通”全过程质量追溯系统的优势，以此实现高品质中药材的持续稳定供给。</w:t>
      </w:r>
    </w:p>
    <w:p w14:paraId="26175DCA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绿色智造规模拓展：扩大并强化中药绿色智能制造技术优势，在生产系统形成技术引领、应用示范后，在各公司进行推广复制，提升数智技术的应用维度，借助新质生产力强化公司在质量控制、降本增效、绿色和谐方面的竞争优势。</w:t>
      </w:r>
    </w:p>
    <w:p w14:paraId="6975CAFF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系统集成能力优化：在多系统纵横协同、一体联动、数据驱动的“新质生产链”基础上，首创多单元串并联质量能量协同传递和全程优化模型，解决中药生产智能装备系统欠缺决策参数的“卡脖子”问题，打造以数据为关键要素的数字化新质生产力，支撑中药生产数字化绿色化协同转型升级。</w:t>
      </w:r>
    </w:p>
    <w:p w14:paraId="66F996D0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（二）增强数据赋能，提升产品应用与服务效能</w:t>
      </w:r>
    </w:p>
    <w:p w14:paraId="101BA546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优化用药服务：运用数智技术赋能精准用药服务，通过大数据分析预测个体对不同药物的反应和潜在不良反应风险，推送患者个性化的用药提醒、教育信息和干预措施，提高治疗依从性，改善长期健康。同时，整合分析来自医院、药房、患者报告系统、社交媒体、医学文献的海量数据，更快速、更广泛地识别潜在的不良反应信号（ADR）和药物相互作用风险，为药品安全监管提供强大支持。</w:t>
      </w:r>
    </w:p>
    <w:p w14:paraId="0C9DBA54" w14:textId="10E7C80D" w:rsidR="00FB485B" w:rsidRPr="00FB485B" w:rsidRDefault="00FB485B" w:rsidP="00931184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强化市场监测与需求预测：逐步构建全渠道销售动态追踪网络，实时汇聚并分析来自医院、零售药店、线上药房、批发渠道的销售数据、处方数据和库存数据，构建全景式市场视图。分析宏观经济指标、医保支付改革方向、疾病谱变迁、人口老龄化、技术创新等宏观因素数据，预测整个药品市场或特定治疗领域的未来发展趋势和增长点，为企业的长期战略规划提供依据。</w:t>
      </w:r>
    </w:p>
    <w:p w14:paraId="1A01E044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四、优化治理体系，完善公司治理</w:t>
      </w:r>
    </w:p>
    <w:p w14:paraId="55054993" w14:textId="4E393AAB" w:rsidR="00FB485B" w:rsidRPr="00FB485B" w:rsidRDefault="00D96235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公司高度重视公司治理结构的健全和内部控制体系的有效性，</w:t>
      </w:r>
      <w:r w:rsidR="00FB485B"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已经建立由股东会、董事会及其专门委员会、监事会和执行机构组成的公司治理结构，形成了权力机构、决策机构、监督机构和执行机构之间权责明确、运作规范的相互协调和相互制衡机制。为进一步优化公司治理，保证公司的高效、稳健及规范经营，规划期内，公司治理方面的工作重点和计划如下：</w:t>
      </w:r>
    </w:p>
    <w:p w14:paraId="46E46112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lastRenderedPageBreak/>
        <w:t>（一）完善内部管理制度，筑牢合规根基</w:t>
      </w:r>
    </w:p>
    <w:p w14:paraId="426CD31E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将严格按照《公司法》《证券法》《上市公司治理准则》等法律法规要求，及时跟踪证监会、山东监管局、上海证券交易所发布的有关公司治理的最新动态，结合公司实际情况，持续完善内部管理制度，积极推动公司治理结构的优化，规范公司运作，以确保公司股东利益的最大化。</w:t>
      </w:r>
    </w:p>
    <w:p w14:paraId="63EC0F19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 xml:space="preserve">（二）健全内部控制体系，提高规范运作水平 </w:t>
      </w:r>
    </w:p>
    <w:p w14:paraId="720C0CD1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1．监事会改革</w:t>
      </w:r>
    </w:p>
    <w:p w14:paraId="5354ACDA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将根据新修订、颁布的法律法规和规范性文件要求，结合当前业务的实际情况和监管要求，推动公司治理结构优化工作，积极配合中国证监会发布的《关于新&lt;公司法&gt;配套制度规则实施相关过渡期安排》的具体要求，开展取消监事会，由审计委员会承接原监事会职权。审计委员会将在新的职责框架下，进一步强化履职能力，充分发挥在审计监督、风险管控、内部控制等方面的专业优势，确保公司财务信息的真实、准确、完整，及时发现和防范潜在的经营风险和舞弊行为。公司致力于持续优化公司治理架构和治理体系，构建更加科学、合理、高效的治理模式，以适应不断变化的市场环境和公司发展战略需求，为公司的长期稳定发展奠定坚实基础。</w:t>
      </w:r>
    </w:p>
    <w:p w14:paraId="72781C01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2.持续完善、评价内部控制</w:t>
      </w:r>
    </w:p>
    <w:p w14:paraId="04D75963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在董事会的领导下，公司根据《企业内部控制基本规范》及其配套指引的规定和其他内部控制监管要求，结合公司内部控制制度和评价办法，在内部控制日常监督和专项监督的基础上，对公司关键业务流程、关键控制环节内部控制的有效性进行自我评价并形成《内部控制评价报告》。公司对纳入评价范围的业务与事项建立并完善内部控制，并有效执行。</w:t>
      </w:r>
    </w:p>
    <w:p w14:paraId="3D15D184" w14:textId="3BF066B2" w:rsidR="00FB485B" w:rsidRPr="00FB485B" w:rsidRDefault="00FB485B" w:rsidP="00931184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将持续关注法律法规和监管政策变化，及时研究和学习相关法律法规，确保股东会、董事会及其专门委员会的运作与召开均严格按照有关规定程序执行，保证各职能部门有效发挥应有的功能，促进组织的有效运营和目标实现，助力公司实现高质量发展。</w:t>
      </w:r>
    </w:p>
    <w:p w14:paraId="091376AB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五、强化“关键少数”责任，提升履职能力</w:t>
      </w:r>
    </w:p>
    <w:p w14:paraId="4ABC3D0F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lastRenderedPageBreak/>
        <w:t>公司高度重视控股股东、董事以及高级管理人员等“关键少数”的职责履行和风险防控。公司董事及高级管理人员按照证监会、山东监管局、上交所和上市公司协会安排，积极参加各类专项培训，强化“关键少数”人员合规意识。</w:t>
      </w:r>
    </w:p>
    <w:p w14:paraId="5A71BC46" w14:textId="7A7C7565" w:rsidR="00FB485B" w:rsidRPr="00FB485B" w:rsidRDefault="00FB485B" w:rsidP="00931184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规划期内，公司将持续完善公司治理能力建设和内部控制制度，从上至下强化合规建设，积极组织董事及高级管理人员等关键管理人员进行合规培训，增强培训深度与力度，及时沟通普及最新法规信息和监管案例，促进董事及高级管理人员专业素养与合规意识进一步提升，推动公司持续规范运作。</w:t>
      </w:r>
    </w:p>
    <w:p w14:paraId="5850AA9C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六、提升投资者回报，共享企业发展成果</w:t>
      </w:r>
    </w:p>
    <w:p w14:paraId="29AE1311" w14:textId="77777777" w:rsidR="00FB485B" w:rsidRPr="00931184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31184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（一）持续现金分红，注重投资者回报</w:t>
      </w:r>
    </w:p>
    <w:p w14:paraId="161E3856" w14:textId="7A9D9929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公司自上市以来，高度重视对投资者的合理投资回报，在兼顾可持续发展的同时，严格执行利润分配政策，积极回馈股东，努力让所有股东能共享公司的发展成果。</w:t>
      </w:r>
    </w:p>
    <w:p w14:paraId="206407D2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1、公司着眼于长远利益和可持续发展，综合考虑公司实际经营情况、未来发展目标、股东意愿和要求、社会资金成本和外部融资环境等因素，建立对投资者持续、稳定、科学的回报机制，严格按照《公司章程》及《山东步长制药股份有限公司未来三年（2025年-2027年）股东分红回报规划》进行利润分配。</w:t>
      </w:r>
    </w:p>
    <w:p w14:paraId="388CCF31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2、根据《上市公司监管指引第3号——上市公司现金分红》《公司章程》等相关规定及公司2025年中期分红方案，及时制定并审议公司2025年半年度利润分配方案，并予以实施。</w:t>
      </w:r>
    </w:p>
    <w:p w14:paraId="0CF564B8" w14:textId="77777777" w:rsidR="00FB485B" w:rsidRPr="009A34CC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A34CC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（二）推进股份回购工作，增强市场信心，保障投资者权益</w:t>
      </w:r>
    </w:p>
    <w:p w14:paraId="3D25991F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为维护公司和投资者利益，稳定投资者预期，增强市场信心，推动公司股票价值的合理回归，基于对公司未来发展前景的信心以及对公司价值的高度认可，在综合考虑公司财务状况以及未来的盈利能力的情况下。截至2025年上半年，公司共进行3次股份回购，累计回购股份8,701.22万股，支付回购总金额为174,443.11万元。上述累计回购股份中已注销3,553.80万股，剩余股份已经董事会、股东会审议通过拟全部注销。</w:t>
      </w:r>
    </w:p>
    <w:p w14:paraId="7410A301" w14:textId="221847CC" w:rsidR="00FB485B" w:rsidRPr="00FB485B" w:rsidRDefault="00FB485B" w:rsidP="009A34CC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规划期内，公司拟将继续做好股份回购相关工作，积极推动上述股份注销及</w:t>
      </w: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lastRenderedPageBreak/>
        <w:t>工商变更等工作。</w:t>
      </w:r>
    </w:p>
    <w:p w14:paraId="3D4A4BF5" w14:textId="77777777" w:rsidR="00FB485B" w:rsidRPr="009A34CC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A34CC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七、强化信息披露质量，构建长期有效投资者沟通渠道</w:t>
      </w:r>
    </w:p>
    <w:p w14:paraId="6650D3BD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严格按照《证券法》《上海证券交易所股票上市规则》《上市公司信息披露管理办法》等规范性文件的有关要求，严格履行信息披露义务，保证披露信息的真实、准确、完整，信息披露及时、公平，并不断提升信息披露的易读性、有效性，便利投资者了解公司经营情况，增强公司信息透明度。</w:t>
      </w:r>
    </w:p>
    <w:p w14:paraId="45D7DC6A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规划期内，公司将通过以下措施进一步强化信息披露质量，健全投资者沟通渠道：</w:t>
      </w:r>
    </w:p>
    <w:p w14:paraId="052FB7C9" w14:textId="77777777" w:rsidR="00FB485B" w:rsidRPr="009A34CC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A34CC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（一）增强信息披露可读性，提高信息获取便捷性</w:t>
      </w:r>
    </w:p>
    <w:p w14:paraId="12AA555E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在合规信息披露的基础上，公司将力求披露内容简明清晰、通俗易懂；采取一图读懂、图表、图片等多种可视化形式对定期报告进行解读，突出关键信息，减少投资者阅读负担，便于投资者信息获取以及判断决策；不断增强自愿性信息披露的合规性，针对对外投资、研发项目进展等情况发布自愿披露公告；公司将通过持续优化、更新和维护公司官网、公众号等多个平台，建立多层次的投资者沟通渠道，便于投资者获取公司动态等信息。</w:t>
      </w:r>
    </w:p>
    <w:p w14:paraId="2B99A53B" w14:textId="77777777" w:rsidR="00FB485B" w:rsidRPr="009A34CC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A34CC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（二）优化投资者关系管理工作，丰富投资者互动渠道</w:t>
      </w:r>
    </w:p>
    <w:p w14:paraId="6E05DC5E" w14:textId="13AD7879" w:rsidR="00FB485B" w:rsidRPr="00FB485B" w:rsidRDefault="00FB485B" w:rsidP="009A34CC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规划期内，公司将按照山东监管局、上交所、上市公司协会等部门的要求，继续常态化开展业绩说明会等活动，根据公司实际经营情况进一步加强信息披露，丰富投资者沟通交流的方式，邀请投资者调研，使得投资者更加直观的感受公司的经营情况和发展战略，进一步增进投资者对公司的认同感。积极参与山东监管局、上市公司协会等部门组织的专项活动、及时接听投资者热线电话、查看回复公开邮箱和上证e互动平台相关提问，提高和投资者沟通的效率，保护中小股东利益。</w:t>
      </w:r>
    </w:p>
    <w:p w14:paraId="71E40220" w14:textId="77777777" w:rsidR="00FB485B" w:rsidRPr="009A34CC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2"/>
        <w:rPr>
          <w:rFonts w:asciiTheme="minorEastAsia" w:eastAsiaTheme="minorEastAsia" w:hAnsiTheme="minorEastAsia" w:cs="Arial"/>
          <w:b/>
          <w:sz w:val="24"/>
          <w:szCs w:val="24"/>
          <w:shd w:val="clear" w:color="auto" w:fill="FFFFFF"/>
        </w:rPr>
      </w:pPr>
      <w:r w:rsidRPr="009A34CC">
        <w:rPr>
          <w:rFonts w:asciiTheme="minorEastAsia" w:eastAsiaTheme="minorEastAsia" w:hAnsiTheme="minorEastAsia" w:cs="Arial" w:hint="eastAsia"/>
          <w:b/>
          <w:sz w:val="24"/>
          <w:szCs w:val="24"/>
          <w:shd w:val="clear" w:color="auto" w:fill="FFFFFF"/>
        </w:rPr>
        <w:t>八、其他事宜</w:t>
      </w:r>
    </w:p>
    <w:p w14:paraId="533268C1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公司将持续关注“提质增效重回报”行动方案的执行情况，及时履行信息披露义务。公司将继续聚焦经营主业，提升公司核心竞争力、保持技术领先性，通过良好的经营管理、规范的公司治理和积极的投资者回报，切实保护投资者利益，</w:t>
      </w: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lastRenderedPageBreak/>
        <w:t>切实履行上市公司责任和义务，回报投资者信任，维护公司良好市场形象，促进资本市场平稳健康发展。</w:t>
      </w:r>
    </w:p>
    <w:p w14:paraId="4FE999F1" w14:textId="77777777" w:rsidR="00FB485B" w:rsidRPr="00FB485B" w:rsidRDefault="00FB485B" w:rsidP="00FB485B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本行动方案的规划期自2025年7月1日至2026年6月30日止。</w:t>
      </w:r>
    </w:p>
    <w:p w14:paraId="17AE367F" w14:textId="39EDF338" w:rsidR="009A34CC" w:rsidRDefault="00FB485B" w:rsidP="00EC4B24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 w:rsidRPr="00FB485B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本报告所涉及的公司规划、发展战略等系非既成事实的前瞻性陈述，不构成公司对投资者的实质承诺，敬请投资者注意相关风险。</w:t>
      </w:r>
    </w:p>
    <w:p w14:paraId="72763426" w14:textId="38A16486" w:rsidR="00292756" w:rsidRDefault="00D32CB3" w:rsidP="005C6A19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特此公告。</w:t>
      </w:r>
    </w:p>
    <w:p w14:paraId="3BBB8214" w14:textId="77777777" w:rsidR="00E16089" w:rsidRDefault="00E16089" w:rsidP="005C6A19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Arial"/>
          <w:sz w:val="24"/>
          <w:szCs w:val="24"/>
          <w:shd w:val="clear" w:color="auto" w:fill="FFFFFF"/>
        </w:rPr>
      </w:pPr>
    </w:p>
    <w:p w14:paraId="2379FEE0" w14:textId="77777777" w:rsidR="00E16089" w:rsidRDefault="00E16089" w:rsidP="005C6A19">
      <w:pPr>
        <w:pStyle w:val="af"/>
        <w:pBdr>
          <w:bottom w:val="none" w:sz="0" w:space="5" w:color="000000"/>
        </w:pBdr>
        <w:spacing w:afterLines="50" w:after="120" w:line="360" w:lineRule="auto"/>
        <w:ind w:firstLineChars="200" w:firstLine="480"/>
        <w:rPr>
          <w:rFonts w:asciiTheme="minorEastAsia" w:eastAsiaTheme="minorEastAsia" w:hAnsiTheme="minorEastAsia" w:cs="KAPJJC+ËÎÌå"/>
          <w:sz w:val="24"/>
          <w:szCs w:val="24"/>
        </w:rPr>
      </w:pPr>
    </w:p>
    <w:p w14:paraId="1A33A767" w14:textId="77777777" w:rsidR="00292756" w:rsidRDefault="00D32CB3">
      <w:pPr>
        <w:autoSpaceDE w:val="0"/>
        <w:autoSpaceDN w:val="0"/>
        <w:spacing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sz w:val="24"/>
          <w:szCs w:val="24"/>
        </w:rPr>
      </w:pPr>
      <w:r>
        <w:rPr>
          <w:rFonts w:asciiTheme="minorEastAsia" w:eastAsiaTheme="minorEastAsia" w:hAnsiTheme="minorEastAsia" w:cs="KAPJJC+ËÎÌå" w:hint="eastAsia"/>
          <w:sz w:val="24"/>
          <w:szCs w:val="24"/>
        </w:rPr>
        <w:t>山东步长制药股份有限公司董事会</w:t>
      </w:r>
    </w:p>
    <w:p w14:paraId="4AA9CD98" w14:textId="5CD4C3D4" w:rsidR="00292756" w:rsidRDefault="00D32CB3" w:rsidP="00504E9A">
      <w:pPr>
        <w:wordWrap w:val="0"/>
        <w:autoSpaceDE w:val="0"/>
        <w:autoSpaceDN w:val="0"/>
        <w:spacing w:line="360" w:lineRule="auto"/>
        <w:ind w:right="960"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 w:rsidR="00FB485B"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B485B">
        <w:rPr>
          <w:rFonts w:asciiTheme="minorEastAsia" w:eastAsiaTheme="minorEastAsia" w:hAnsiTheme="minorEastAsia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70E89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31236">
        <w:rPr>
          <w:rFonts w:asciiTheme="minorEastAsia" w:eastAsiaTheme="minorEastAsia" w:hAnsiTheme="minorEastAsia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292756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121AA" w14:textId="77777777" w:rsidR="00C640E3" w:rsidRDefault="00C640E3" w:rsidP="00754094">
      <w:r>
        <w:separator/>
      </w:r>
    </w:p>
  </w:endnote>
  <w:endnote w:type="continuationSeparator" w:id="0">
    <w:p w14:paraId="7D8A2425" w14:textId="77777777" w:rsidR="00C640E3" w:rsidRDefault="00C640E3" w:rsidP="0075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KAPJJC+ËÎÌå">
    <w:altName w:val="Segoe Print"/>
    <w:charset w:val="00"/>
    <w:family w:val="auto"/>
    <w:pitch w:val="default"/>
    <w:sig w:usb0="00000000" w:usb1="00000000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814C2" w14:textId="77777777" w:rsidR="00C640E3" w:rsidRDefault="00C640E3" w:rsidP="00754094">
      <w:r>
        <w:separator/>
      </w:r>
    </w:p>
  </w:footnote>
  <w:footnote w:type="continuationSeparator" w:id="0">
    <w:p w14:paraId="347A302A" w14:textId="77777777" w:rsidR="00C640E3" w:rsidRDefault="00C640E3" w:rsidP="0075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AEA85F"/>
    <w:multiLevelType w:val="singleLevel"/>
    <w:tmpl w:val="B1AEA85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0D52A0A"/>
    <w:multiLevelType w:val="singleLevel"/>
    <w:tmpl w:val="30D52A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5A52683"/>
    <w:multiLevelType w:val="singleLevel"/>
    <w:tmpl w:val="75A526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ZjQ0YzkxMzM0NzJmNmEyZTU2NDA1MTcwYmE2MDYifQ=="/>
  </w:docVars>
  <w:rsids>
    <w:rsidRoot w:val="00AC7A56"/>
    <w:rsid w:val="00001F8F"/>
    <w:rsid w:val="00002F0A"/>
    <w:rsid w:val="000035F9"/>
    <w:rsid w:val="0000667D"/>
    <w:rsid w:val="000126A2"/>
    <w:rsid w:val="00016E54"/>
    <w:rsid w:val="000251E1"/>
    <w:rsid w:val="00025AB6"/>
    <w:rsid w:val="00032151"/>
    <w:rsid w:val="00037F63"/>
    <w:rsid w:val="000429C0"/>
    <w:rsid w:val="00044DF5"/>
    <w:rsid w:val="000527BB"/>
    <w:rsid w:val="00053292"/>
    <w:rsid w:val="00056594"/>
    <w:rsid w:val="00060334"/>
    <w:rsid w:val="000620C6"/>
    <w:rsid w:val="00071EBD"/>
    <w:rsid w:val="00073478"/>
    <w:rsid w:val="00074EA5"/>
    <w:rsid w:val="00075036"/>
    <w:rsid w:val="000855A6"/>
    <w:rsid w:val="000862A8"/>
    <w:rsid w:val="0008654E"/>
    <w:rsid w:val="0009464B"/>
    <w:rsid w:val="0009513D"/>
    <w:rsid w:val="000A0594"/>
    <w:rsid w:val="000A1DC0"/>
    <w:rsid w:val="000A6C13"/>
    <w:rsid w:val="000B1E95"/>
    <w:rsid w:val="000B2FDE"/>
    <w:rsid w:val="000B61CE"/>
    <w:rsid w:val="000C7ACD"/>
    <w:rsid w:val="000C7C47"/>
    <w:rsid w:val="000D3AD7"/>
    <w:rsid w:val="000D4225"/>
    <w:rsid w:val="000F1416"/>
    <w:rsid w:val="000F1C51"/>
    <w:rsid w:val="000F7871"/>
    <w:rsid w:val="00110672"/>
    <w:rsid w:val="00111355"/>
    <w:rsid w:val="00127311"/>
    <w:rsid w:val="00130B6D"/>
    <w:rsid w:val="00143414"/>
    <w:rsid w:val="00143D65"/>
    <w:rsid w:val="00143EE1"/>
    <w:rsid w:val="00147716"/>
    <w:rsid w:val="00152ABE"/>
    <w:rsid w:val="00155A06"/>
    <w:rsid w:val="001564CF"/>
    <w:rsid w:val="00162C40"/>
    <w:rsid w:val="00163A71"/>
    <w:rsid w:val="00174D44"/>
    <w:rsid w:val="00174D90"/>
    <w:rsid w:val="00176150"/>
    <w:rsid w:val="00177BA8"/>
    <w:rsid w:val="001838B9"/>
    <w:rsid w:val="001909BD"/>
    <w:rsid w:val="00190F35"/>
    <w:rsid w:val="00194206"/>
    <w:rsid w:val="0019596C"/>
    <w:rsid w:val="0019622C"/>
    <w:rsid w:val="00197B2C"/>
    <w:rsid w:val="001A0397"/>
    <w:rsid w:val="001A1938"/>
    <w:rsid w:val="001A3667"/>
    <w:rsid w:val="001B0D67"/>
    <w:rsid w:val="001B60A2"/>
    <w:rsid w:val="001B74BD"/>
    <w:rsid w:val="001C1565"/>
    <w:rsid w:val="001C1CD8"/>
    <w:rsid w:val="001C210D"/>
    <w:rsid w:val="001C3967"/>
    <w:rsid w:val="001C3C58"/>
    <w:rsid w:val="001D2865"/>
    <w:rsid w:val="001D4C12"/>
    <w:rsid w:val="001D74B9"/>
    <w:rsid w:val="001E326F"/>
    <w:rsid w:val="001E36C9"/>
    <w:rsid w:val="001E46C0"/>
    <w:rsid w:val="001E55AA"/>
    <w:rsid w:val="001F0CEF"/>
    <w:rsid w:val="001F1337"/>
    <w:rsid w:val="0021448C"/>
    <w:rsid w:val="002164E6"/>
    <w:rsid w:val="00217F4F"/>
    <w:rsid w:val="00220B8F"/>
    <w:rsid w:val="00222AE7"/>
    <w:rsid w:val="00224EAF"/>
    <w:rsid w:val="00224FD2"/>
    <w:rsid w:val="002257A3"/>
    <w:rsid w:val="002263CA"/>
    <w:rsid w:val="00232BE2"/>
    <w:rsid w:val="00233E3F"/>
    <w:rsid w:val="00241C2B"/>
    <w:rsid w:val="002453D6"/>
    <w:rsid w:val="00247C9C"/>
    <w:rsid w:val="00251BE6"/>
    <w:rsid w:val="00253D50"/>
    <w:rsid w:val="002551EA"/>
    <w:rsid w:val="002554C3"/>
    <w:rsid w:val="00261506"/>
    <w:rsid w:val="00263CBC"/>
    <w:rsid w:val="00265CCB"/>
    <w:rsid w:val="0026681E"/>
    <w:rsid w:val="0027022A"/>
    <w:rsid w:val="002719B9"/>
    <w:rsid w:val="00272384"/>
    <w:rsid w:val="00273043"/>
    <w:rsid w:val="00273EC7"/>
    <w:rsid w:val="00286600"/>
    <w:rsid w:val="002911DE"/>
    <w:rsid w:val="00292141"/>
    <w:rsid w:val="00292756"/>
    <w:rsid w:val="002B2F18"/>
    <w:rsid w:val="002B3B5C"/>
    <w:rsid w:val="002C3879"/>
    <w:rsid w:val="002C5A80"/>
    <w:rsid w:val="002D01C9"/>
    <w:rsid w:val="002D4199"/>
    <w:rsid w:val="002D509B"/>
    <w:rsid w:val="002E0650"/>
    <w:rsid w:val="002E0C18"/>
    <w:rsid w:val="002E513B"/>
    <w:rsid w:val="002E6057"/>
    <w:rsid w:val="002E6107"/>
    <w:rsid w:val="002F0535"/>
    <w:rsid w:val="00300275"/>
    <w:rsid w:val="0030086C"/>
    <w:rsid w:val="003025E1"/>
    <w:rsid w:val="00312CB0"/>
    <w:rsid w:val="003145F7"/>
    <w:rsid w:val="00314AA2"/>
    <w:rsid w:val="00317D95"/>
    <w:rsid w:val="00324803"/>
    <w:rsid w:val="00324DD9"/>
    <w:rsid w:val="00326209"/>
    <w:rsid w:val="00331236"/>
    <w:rsid w:val="00331831"/>
    <w:rsid w:val="003364F0"/>
    <w:rsid w:val="0033784C"/>
    <w:rsid w:val="00337E2F"/>
    <w:rsid w:val="00343B59"/>
    <w:rsid w:val="00347138"/>
    <w:rsid w:val="00361E75"/>
    <w:rsid w:val="00362410"/>
    <w:rsid w:val="003713CA"/>
    <w:rsid w:val="0037295F"/>
    <w:rsid w:val="00383E17"/>
    <w:rsid w:val="00384FCC"/>
    <w:rsid w:val="00385616"/>
    <w:rsid w:val="00396F7C"/>
    <w:rsid w:val="00397167"/>
    <w:rsid w:val="003A0455"/>
    <w:rsid w:val="003A28FC"/>
    <w:rsid w:val="003A3A1F"/>
    <w:rsid w:val="003A500C"/>
    <w:rsid w:val="003A64A1"/>
    <w:rsid w:val="003A7923"/>
    <w:rsid w:val="003C1E6B"/>
    <w:rsid w:val="003C20FD"/>
    <w:rsid w:val="003C305A"/>
    <w:rsid w:val="003C3D25"/>
    <w:rsid w:val="003C6323"/>
    <w:rsid w:val="003D08D5"/>
    <w:rsid w:val="003D5115"/>
    <w:rsid w:val="003D7C9F"/>
    <w:rsid w:val="003E03B3"/>
    <w:rsid w:val="003E7E1E"/>
    <w:rsid w:val="003F153C"/>
    <w:rsid w:val="0040129D"/>
    <w:rsid w:val="004021C6"/>
    <w:rsid w:val="004060F6"/>
    <w:rsid w:val="00412631"/>
    <w:rsid w:val="00416911"/>
    <w:rsid w:val="00421BBA"/>
    <w:rsid w:val="00423C32"/>
    <w:rsid w:val="00424B73"/>
    <w:rsid w:val="00430144"/>
    <w:rsid w:val="004326AA"/>
    <w:rsid w:val="00447D53"/>
    <w:rsid w:val="00457BB6"/>
    <w:rsid w:val="00460085"/>
    <w:rsid w:val="004601B2"/>
    <w:rsid w:val="00462B57"/>
    <w:rsid w:val="004633E5"/>
    <w:rsid w:val="004635A3"/>
    <w:rsid w:val="004639D9"/>
    <w:rsid w:val="00470C3C"/>
    <w:rsid w:val="004714DE"/>
    <w:rsid w:val="00471525"/>
    <w:rsid w:val="004719C3"/>
    <w:rsid w:val="0047340C"/>
    <w:rsid w:val="0047585D"/>
    <w:rsid w:val="004770A2"/>
    <w:rsid w:val="0048475F"/>
    <w:rsid w:val="00490120"/>
    <w:rsid w:val="0049014D"/>
    <w:rsid w:val="00492A8C"/>
    <w:rsid w:val="004A3805"/>
    <w:rsid w:val="004A3A5C"/>
    <w:rsid w:val="004A459D"/>
    <w:rsid w:val="004B4AFD"/>
    <w:rsid w:val="004B6C24"/>
    <w:rsid w:val="004C0FB3"/>
    <w:rsid w:val="004C3534"/>
    <w:rsid w:val="004C6320"/>
    <w:rsid w:val="004D13DA"/>
    <w:rsid w:val="004D2313"/>
    <w:rsid w:val="004D524C"/>
    <w:rsid w:val="004D69C0"/>
    <w:rsid w:val="004E50FA"/>
    <w:rsid w:val="004E66AB"/>
    <w:rsid w:val="004E74FC"/>
    <w:rsid w:val="004F292F"/>
    <w:rsid w:val="00503065"/>
    <w:rsid w:val="005032AE"/>
    <w:rsid w:val="00503BD3"/>
    <w:rsid w:val="00504E9A"/>
    <w:rsid w:val="005059F4"/>
    <w:rsid w:val="00512092"/>
    <w:rsid w:val="00523553"/>
    <w:rsid w:val="00526700"/>
    <w:rsid w:val="00530106"/>
    <w:rsid w:val="0053036C"/>
    <w:rsid w:val="00532DEA"/>
    <w:rsid w:val="00534191"/>
    <w:rsid w:val="00542C45"/>
    <w:rsid w:val="00544117"/>
    <w:rsid w:val="0054413D"/>
    <w:rsid w:val="00552679"/>
    <w:rsid w:val="00552AF6"/>
    <w:rsid w:val="00553C33"/>
    <w:rsid w:val="00560217"/>
    <w:rsid w:val="00563A40"/>
    <w:rsid w:val="0056674A"/>
    <w:rsid w:val="00567D7E"/>
    <w:rsid w:val="00567F25"/>
    <w:rsid w:val="00570FEA"/>
    <w:rsid w:val="005714EF"/>
    <w:rsid w:val="00572090"/>
    <w:rsid w:val="00581BCB"/>
    <w:rsid w:val="005830E7"/>
    <w:rsid w:val="0058639F"/>
    <w:rsid w:val="00587138"/>
    <w:rsid w:val="00592996"/>
    <w:rsid w:val="00597FCE"/>
    <w:rsid w:val="005A3358"/>
    <w:rsid w:val="005A4933"/>
    <w:rsid w:val="005A54D6"/>
    <w:rsid w:val="005A6B95"/>
    <w:rsid w:val="005B2023"/>
    <w:rsid w:val="005C363A"/>
    <w:rsid w:val="005C6A19"/>
    <w:rsid w:val="005D4CDF"/>
    <w:rsid w:val="005D6403"/>
    <w:rsid w:val="005D7FC7"/>
    <w:rsid w:val="005E3352"/>
    <w:rsid w:val="005E5DAA"/>
    <w:rsid w:val="005F161A"/>
    <w:rsid w:val="005F2EF4"/>
    <w:rsid w:val="005F598C"/>
    <w:rsid w:val="005F778A"/>
    <w:rsid w:val="005F77BB"/>
    <w:rsid w:val="00602BBD"/>
    <w:rsid w:val="00604CA0"/>
    <w:rsid w:val="006053B4"/>
    <w:rsid w:val="0061050F"/>
    <w:rsid w:val="006115D4"/>
    <w:rsid w:val="00620393"/>
    <w:rsid w:val="00621263"/>
    <w:rsid w:val="006237EB"/>
    <w:rsid w:val="00631DE4"/>
    <w:rsid w:val="006326DE"/>
    <w:rsid w:val="00635438"/>
    <w:rsid w:val="00637432"/>
    <w:rsid w:val="0064267A"/>
    <w:rsid w:val="0065181D"/>
    <w:rsid w:val="00652806"/>
    <w:rsid w:val="006553C2"/>
    <w:rsid w:val="00660C80"/>
    <w:rsid w:val="006647F6"/>
    <w:rsid w:val="006669D9"/>
    <w:rsid w:val="006678C2"/>
    <w:rsid w:val="00667EEF"/>
    <w:rsid w:val="006713E7"/>
    <w:rsid w:val="00673059"/>
    <w:rsid w:val="006735C3"/>
    <w:rsid w:val="00673930"/>
    <w:rsid w:val="00673DE7"/>
    <w:rsid w:val="006751FD"/>
    <w:rsid w:val="006768FD"/>
    <w:rsid w:val="006800B8"/>
    <w:rsid w:val="006825AF"/>
    <w:rsid w:val="00683789"/>
    <w:rsid w:val="0068650D"/>
    <w:rsid w:val="0069251F"/>
    <w:rsid w:val="00693A90"/>
    <w:rsid w:val="0069674D"/>
    <w:rsid w:val="006A1B7A"/>
    <w:rsid w:val="006A2728"/>
    <w:rsid w:val="006B0EAA"/>
    <w:rsid w:val="006B382E"/>
    <w:rsid w:val="006C15E7"/>
    <w:rsid w:val="006C2C9E"/>
    <w:rsid w:val="006C6382"/>
    <w:rsid w:val="006D1C64"/>
    <w:rsid w:val="006D25A9"/>
    <w:rsid w:val="006D4C63"/>
    <w:rsid w:val="006D50A1"/>
    <w:rsid w:val="006D5C37"/>
    <w:rsid w:val="006D6C71"/>
    <w:rsid w:val="006E20C7"/>
    <w:rsid w:val="006E4E12"/>
    <w:rsid w:val="006F56EA"/>
    <w:rsid w:val="006F57D1"/>
    <w:rsid w:val="0070008B"/>
    <w:rsid w:val="00702808"/>
    <w:rsid w:val="00703682"/>
    <w:rsid w:val="00703A4B"/>
    <w:rsid w:val="00703ADF"/>
    <w:rsid w:val="00703F33"/>
    <w:rsid w:val="00704656"/>
    <w:rsid w:val="007049F6"/>
    <w:rsid w:val="00710AD6"/>
    <w:rsid w:val="00714057"/>
    <w:rsid w:val="00732F1F"/>
    <w:rsid w:val="00736686"/>
    <w:rsid w:val="00745FBB"/>
    <w:rsid w:val="00751D66"/>
    <w:rsid w:val="00754094"/>
    <w:rsid w:val="00754496"/>
    <w:rsid w:val="00761C7F"/>
    <w:rsid w:val="00763C17"/>
    <w:rsid w:val="007651D2"/>
    <w:rsid w:val="00766AB0"/>
    <w:rsid w:val="00767552"/>
    <w:rsid w:val="007739F6"/>
    <w:rsid w:val="007758D0"/>
    <w:rsid w:val="00776114"/>
    <w:rsid w:val="00777349"/>
    <w:rsid w:val="00785F6C"/>
    <w:rsid w:val="00793C0A"/>
    <w:rsid w:val="00796283"/>
    <w:rsid w:val="00797B5E"/>
    <w:rsid w:val="007A4A75"/>
    <w:rsid w:val="007A5239"/>
    <w:rsid w:val="007B1146"/>
    <w:rsid w:val="007B3665"/>
    <w:rsid w:val="007B696B"/>
    <w:rsid w:val="007B77A9"/>
    <w:rsid w:val="007C1655"/>
    <w:rsid w:val="007C4746"/>
    <w:rsid w:val="007C58C3"/>
    <w:rsid w:val="007C5D17"/>
    <w:rsid w:val="007C6DA4"/>
    <w:rsid w:val="007D03E4"/>
    <w:rsid w:val="007E0CC9"/>
    <w:rsid w:val="007E295A"/>
    <w:rsid w:val="007E3E21"/>
    <w:rsid w:val="007E5C79"/>
    <w:rsid w:val="007E5D2D"/>
    <w:rsid w:val="007E6F94"/>
    <w:rsid w:val="007F13F0"/>
    <w:rsid w:val="007F4434"/>
    <w:rsid w:val="007F52A2"/>
    <w:rsid w:val="007F5B01"/>
    <w:rsid w:val="007F64E9"/>
    <w:rsid w:val="00804E4C"/>
    <w:rsid w:val="008059FF"/>
    <w:rsid w:val="00805AE6"/>
    <w:rsid w:val="0081007E"/>
    <w:rsid w:val="00811C74"/>
    <w:rsid w:val="00811E6E"/>
    <w:rsid w:val="008120DB"/>
    <w:rsid w:val="00812612"/>
    <w:rsid w:val="008165E7"/>
    <w:rsid w:val="00817ED9"/>
    <w:rsid w:val="00820D38"/>
    <w:rsid w:val="008219AE"/>
    <w:rsid w:val="00823DCA"/>
    <w:rsid w:val="00824DFA"/>
    <w:rsid w:val="00827E0E"/>
    <w:rsid w:val="0083101B"/>
    <w:rsid w:val="0083453F"/>
    <w:rsid w:val="00835D7D"/>
    <w:rsid w:val="008366C3"/>
    <w:rsid w:val="00836DDD"/>
    <w:rsid w:val="00837EB0"/>
    <w:rsid w:val="00840059"/>
    <w:rsid w:val="00856C46"/>
    <w:rsid w:val="00861F86"/>
    <w:rsid w:val="00866960"/>
    <w:rsid w:val="008705A2"/>
    <w:rsid w:val="00871611"/>
    <w:rsid w:val="00872B2B"/>
    <w:rsid w:val="00876801"/>
    <w:rsid w:val="00877381"/>
    <w:rsid w:val="00880546"/>
    <w:rsid w:val="0088363F"/>
    <w:rsid w:val="008852A8"/>
    <w:rsid w:val="00887A6E"/>
    <w:rsid w:val="008901FA"/>
    <w:rsid w:val="008918A7"/>
    <w:rsid w:val="00894E52"/>
    <w:rsid w:val="00895CB0"/>
    <w:rsid w:val="008967F7"/>
    <w:rsid w:val="008A0946"/>
    <w:rsid w:val="008A2618"/>
    <w:rsid w:val="008A2BBA"/>
    <w:rsid w:val="008A2F0E"/>
    <w:rsid w:val="008A4154"/>
    <w:rsid w:val="008A567E"/>
    <w:rsid w:val="008B66D7"/>
    <w:rsid w:val="008C0161"/>
    <w:rsid w:val="008C20E1"/>
    <w:rsid w:val="008C31E8"/>
    <w:rsid w:val="008C557C"/>
    <w:rsid w:val="008D0494"/>
    <w:rsid w:val="008D125F"/>
    <w:rsid w:val="008D2D15"/>
    <w:rsid w:val="008D4E62"/>
    <w:rsid w:val="008E5421"/>
    <w:rsid w:val="008F109C"/>
    <w:rsid w:val="008F2398"/>
    <w:rsid w:val="008F251D"/>
    <w:rsid w:val="008F526D"/>
    <w:rsid w:val="008F7DB7"/>
    <w:rsid w:val="009114DA"/>
    <w:rsid w:val="009121CE"/>
    <w:rsid w:val="00912245"/>
    <w:rsid w:val="009149F8"/>
    <w:rsid w:val="00915DA5"/>
    <w:rsid w:val="00916996"/>
    <w:rsid w:val="00917107"/>
    <w:rsid w:val="009201A0"/>
    <w:rsid w:val="0092630C"/>
    <w:rsid w:val="009264AF"/>
    <w:rsid w:val="00926722"/>
    <w:rsid w:val="0092692B"/>
    <w:rsid w:val="009278B6"/>
    <w:rsid w:val="00931184"/>
    <w:rsid w:val="00937DE2"/>
    <w:rsid w:val="00940052"/>
    <w:rsid w:val="00940AD7"/>
    <w:rsid w:val="00940FE2"/>
    <w:rsid w:val="00946817"/>
    <w:rsid w:val="009524FE"/>
    <w:rsid w:val="0095781E"/>
    <w:rsid w:val="00962E12"/>
    <w:rsid w:val="009653FE"/>
    <w:rsid w:val="009705ED"/>
    <w:rsid w:val="00974A00"/>
    <w:rsid w:val="00975EC4"/>
    <w:rsid w:val="009830FA"/>
    <w:rsid w:val="009855F2"/>
    <w:rsid w:val="00986808"/>
    <w:rsid w:val="009A1A58"/>
    <w:rsid w:val="009A2F26"/>
    <w:rsid w:val="009A34CC"/>
    <w:rsid w:val="009A36AA"/>
    <w:rsid w:val="009A3EBA"/>
    <w:rsid w:val="009A4447"/>
    <w:rsid w:val="009A6A8E"/>
    <w:rsid w:val="009C00E5"/>
    <w:rsid w:val="009C1972"/>
    <w:rsid w:val="009C29CB"/>
    <w:rsid w:val="009C4B8F"/>
    <w:rsid w:val="009C5C56"/>
    <w:rsid w:val="009D1CD2"/>
    <w:rsid w:val="009D4A9B"/>
    <w:rsid w:val="009D759B"/>
    <w:rsid w:val="009E1FC4"/>
    <w:rsid w:val="009E71FA"/>
    <w:rsid w:val="009F293E"/>
    <w:rsid w:val="009F2ABB"/>
    <w:rsid w:val="009F539E"/>
    <w:rsid w:val="00A027C8"/>
    <w:rsid w:val="00A02FF7"/>
    <w:rsid w:val="00A03D3C"/>
    <w:rsid w:val="00A0464A"/>
    <w:rsid w:val="00A0541A"/>
    <w:rsid w:val="00A05979"/>
    <w:rsid w:val="00A066A7"/>
    <w:rsid w:val="00A07B5F"/>
    <w:rsid w:val="00A12459"/>
    <w:rsid w:val="00A12FD7"/>
    <w:rsid w:val="00A13836"/>
    <w:rsid w:val="00A224FE"/>
    <w:rsid w:val="00A3065F"/>
    <w:rsid w:val="00A327A3"/>
    <w:rsid w:val="00A34C40"/>
    <w:rsid w:val="00A3768A"/>
    <w:rsid w:val="00A41E3B"/>
    <w:rsid w:val="00A42A26"/>
    <w:rsid w:val="00A46A73"/>
    <w:rsid w:val="00A510F0"/>
    <w:rsid w:val="00A5439B"/>
    <w:rsid w:val="00A54F9B"/>
    <w:rsid w:val="00A57B15"/>
    <w:rsid w:val="00A618D8"/>
    <w:rsid w:val="00A62ADF"/>
    <w:rsid w:val="00A635BB"/>
    <w:rsid w:val="00A66777"/>
    <w:rsid w:val="00A7123C"/>
    <w:rsid w:val="00A804E6"/>
    <w:rsid w:val="00A80987"/>
    <w:rsid w:val="00A86796"/>
    <w:rsid w:val="00AA03B7"/>
    <w:rsid w:val="00AA10A8"/>
    <w:rsid w:val="00AA39C9"/>
    <w:rsid w:val="00AB0A82"/>
    <w:rsid w:val="00AB263B"/>
    <w:rsid w:val="00AB3587"/>
    <w:rsid w:val="00AB3C6C"/>
    <w:rsid w:val="00AB7234"/>
    <w:rsid w:val="00AC6811"/>
    <w:rsid w:val="00AC7A56"/>
    <w:rsid w:val="00AD324C"/>
    <w:rsid w:val="00AD492D"/>
    <w:rsid w:val="00AE3CE3"/>
    <w:rsid w:val="00AE5358"/>
    <w:rsid w:val="00AE5FE5"/>
    <w:rsid w:val="00AF063A"/>
    <w:rsid w:val="00B009E2"/>
    <w:rsid w:val="00B0141F"/>
    <w:rsid w:val="00B05F24"/>
    <w:rsid w:val="00B10B15"/>
    <w:rsid w:val="00B1312F"/>
    <w:rsid w:val="00B13164"/>
    <w:rsid w:val="00B16A4C"/>
    <w:rsid w:val="00B20A4A"/>
    <w:rsid w:val="00B21007"/>
    <w:rsid w:val="00B24A2E"/>
    <w:rsid w:val="00B26A9F"/>
    <w:rsid w:val="00B3144B"/>
    <w:rsid w:val="00B34846"/>
    <w:rsid w:val="00B50EC3"/>
    <w:rsid w:val="00B51DEF"/>
    <w:rsid w:val="00B65813"/>
    <w:rsid w:val="00B67090"/>
    <w:rsid w:val="00B67F1A"/>
    <w:rsid w:val="00B8156C"/>
    <w:rsid w:val="00B83010"/>
    <w:rsid w:val="00B84799"/>
    <w:rsid w:val="00B90940"/>
    <w:rsid w:val="00BA266A"/>
    <w:rsid w:val="00BA4F7A"/>
    <w:rsid w:val="00BA5987"/>
    <w:rsid w:val="00BA767C"/>
    <w:rsid w:val="00BB1C4A"/>
    <w:rsid w:val="00BB7576"/>
    <w:rsid w:val="00BC0386"/>
    <w:rsid w:val="00BD296B"/>
    <w:rsid w:val="00BD4A7B"/>
    <w:rsid w:val="00BE2E1C"/>
    <w:rsid w:val="00BE33C0"/>
    <w:rsid w:val="00BF0B4A"/>
    <w:rsid w:val="00BF1EE0"/>
    <w:rsid w:val="00BF6BD8"/>
    <w:rsid w:val="00C00E21"/>
    <w:rsid w:val="00C074FB"/>
    <w:rsid w:val="00C102F2"/>
    <w:rsid w:val="00C1082B"/>
    <w:rsid w:val="00C13A1D"/>
    <w:rsid w:val="00C15262"/>
    <w:rsid w:val="00C1603C"/>
    <w:rsid w:val="00C22C69"/>
    <w:rsid w:val="00C25A2A"/>
    <w:rsid w:val="00C34106"/>
    <w:rsid w:val="00C34903"/>
    <w:rsid w:val="00C36D3C"/>
    <w:rsid w:val="00C537D3"/>
    <w:rsid w:val="00C54E88"/>
    <w:rsid w:val="00C55BAF"/>
    <w:rsid w:val="00C5781A"/>
    <w:rsid w:val="00C6205C"/>
    <w:rsid w:val="00C640E3"/>
    <w:rsid w:val="00C65C3E"/>
    <w:rsid w:val="00C66B0B"/>
    <w:rsid w:val="00C75A20"/>
    <w:rsid w:val="00C7615B"/>
    <w:rsid w:val="00C80DF5"/>
    <w:rsid w:val="00C81D40"/>
    <w:rsid w:val="00C82137"/>
    <w:rsid w:val="00C84AC1"/>
    <w:rsid w:val="00C92E37"/>
    <w:rsid w:val="00C96256"/>
    <w:rsid w:val="00CA5979"/>
    <w:rsid w:val="00CC0155"/>
    <w:rsid w:val="00CC0349"/>
    <w:rsid w:val="00CC1A2F"/>
    <w:rsid w:val="00CC753A"/>
    <w:rsid w:val="00CD057C"/>
    <w:rsid w:val="00CD4EDB"/>
    <w:rsid w:val="00CE0B5D"/>
    <w:rsid w:val="00CE11A7"/>
    <w:rsid w:val="00CE3C86"/>
    <w:rsid w:val="00CE4745"/>
    <w:rsid w:val="00D009BE"/>
    <w:rsid w:val="00D01849"/>
    <w:rsid w:val="00D054D0"/>
    <w:rsid w:val="00D10610"/>
    <w:rsid w:val="00D1093F"/>
    <w:rsid w:val="00D13F4F"/>
    <w:rsid w:val="00D16ADA"/>
    <w:rsid w:val="00D16FFE"/>
    <w:rsid w:val="00D20227"/>
    <w:rsid w:val="00D22144"/>
    <w:rsid w:val="00D22EF3"/>
    <w:rsid w:val="00D31972"/>
    <w:rsid w:val="00D31F42"/>
    <w:rsid w:val="00D32CB3"/>
    <w:rsid w:val="00D352FB"/>
    <w:rsid w:val="00D35F65"/>
    <w:rsid w:val="00D47068"/>
    <w:rsid w:val="00D47D6C"/>
    <w:rsid w:val="00D5254E"/>
    <w:rsid w:val="00D52CFE"/>
    <w:rsid w:val="00D531EC"/>
    <w:rsid w:val="00D5511E"/>
    <w:rsid w:val="00D57561"/>
    <w:rsid w:val="00D60EF4"/>
    <w:rsid w:val="00D61FC5"/>
    <w:rsid w:val="00D654EA"/>
    <w:rsid w:val="00D70E89"/>
    <w:rsid w:val="00D82CC7"/>
    <w:rsid w:val="00D86429"/>
    <w:rsid w:val="00D9448A"/>
    <w:rsid w:val="00D9546B"/>
    <w:rsid w:val="00D96235"/>
    <w:rsid w:val="00D9678E"/>
    <w:rsid w:val="00DA56A8"/>
    <w:rsid w:val="00DB3F9B"/>
    <w:rsid w:val="00DC0AAF"/>
    <w:rsid w:val="00DC74E7"/>
    <w:rsid w:val="00DC7682"/>
    <w:rsid w:val="00DD4BC9"/>
    <w:rsid w:val="00DD4DDD"/>
    <w:rsid w:val="00DE4FD7"/>
    <w:rsid w:val="00DF0DD5"/>
    <w:rsid w:val="00DF5A96"/>
    <w:rsid w:val="00DF5EE2"/>
    <w:rsid w:val="00E02F45"/>
    <w:rsid w:val="00E0387A"/>
    <w:rsid w:val="00E04171"/>
    <w:rsid w:val="00E06881"/>
    <w:rsid w:val="00E13AF2"/>
    <w:rsid w:val="00E142C4"/>
    <w:rsid w:val="00E16089"/>
    <w:rsid w:val="00E20746"/>
    <w:rsid w:val="00E243ED"/>
    <w:rsid w:val="00E273FB"/>
    <w:rsid w:val="00E276CC"/>
    <w:rsid w:val="00E34E66"/>
    <w:rsid w:val="00E4023A"/>
    <w:rsid w:val="00E45D8C"/>
    <w:rsid w:val="00E5277B"/>
    <w:rsid w:val="00E5567B"/>
    <w:rsid w:val="00E556E1"/>
    <w:rsid w:val="00E62E3B"/>
    <w:rsid w:val="00E63531"/>
    <w:rsid w:val="00E63CC0"/>
    <w:rsid w:val="00E641B5"/>
    <w:rsid w:val="00E66446"/>
    <w:rsid w:val="00E72369"/>
    <w:rsid w:val="00E724CF"/>
    <w:rsid w:val="00E77857"/>
    <w:rsid w:val="00E83313"/>
    <w:rsid w:val="00E840E9"/>
    <w:rsid w:val="00E864C7"/>
    <w:rsid w:val="00E91A57"/>
    <w:rsid w:val="00E91ECC"/>
    <w:rsid w:val="00EA26BA"/>
    <w:rsid w:val="00EA2F8E"/>
    <w:rsid w:val="00EA30D8"/>
    <w:rsid w:val="00EA7385"/>
    <w:rsid w:val="00EB3158"/>
    <w:rsid w:val="00EB7222"/>
    <w:rsid w:val="00EC20B4"/>
    <w:rsid w:val="00EC4289"/>
    <w:rsid w:val="00EC4B24"/>
    <w:rsid w:val="00EC5876"/>
    <w:rsid w:val="00EC6433"/>
    <w:rsid w:val="00EC69F7"/>
    <w:rsid w:val="00ED0E3C"/>
    <w:rsid w:val="00ED4DA4"/>
    <w:rsid w:val="00ED5E9A"/>
    <w:rsid w:val="00ED717E"/>
    <w:rsid w:val="00ED7907"/>
    <w:rsid w:val="00EE15C9"/>
    <w:rsid w:val="00EE22DC"/>
    <w:rsid w:val="00EE2695"/>
    <w:rsid w:val="00EE2A1C"/>
    <w:rsid w:val="00EE4B3E"/>
    <w:rsid w:val="00EF080A"/>
    <w:rsid w:val="00EF1482"/>
    <w:rsid w:val="00EF199C"/>
    <w:rsid w:val="00EF214B"/>
    <w:rsid w:val="00EF4BF2"/>
    <w:rsid w:val="00EF619D"/>
    <w:rsid w:val="00F00A7E"/>
    <w:rsid w:val="00F00D90"/>
    <w:rsid w:val="00F0194F"/>
    <w:rsid w:val="00F13D50"/>
    <w:rsid w:val="00F15891"/>
    <w:rsid w:val="00F15C51"/>
    <w:rsid w:val="00F16A4D"/>
    <w:rsid w:val="00F2080F"/>
    <w:rsid w:val="00F21065"/>
    <w:rsid w:val="00F32451"/>
    <w:rsid w:val="00F35DF6"/>
    <w:rsid w:val="00F3659A"/>
    <w:rsid w:val="00F45975"/>
    <w:rsid w:val="00F5072E"/>
    <w:rsid w:val="00F53E3E"/>
    <w:rsid w:val="00F6061A"/>
    <w:rsid w:val="00F60F28"/>
    <w:rsid w:val="00F64FF2"/>
    <w:rsid w:val="00F72A29"/>
    <w:rsid w:val="00F75884"/>
    <w:rsid w:val="00F7777C"/>
    <w:rsid w:val="00F87036"/>
    <w:rsid w:val="00F96E72"/>
    <w:rsid w:val="00FA51F4"/>
    <w:rsid w:val="00FA5A0F"/>
    <w:rsid w:val="00FB1295"/>
    <w:rsid w:val="00FB1384"/>
    <w:rsid w:val="00FB45B1"/>
    <w:rsid w:val="00FB485B"/>
    <w:rsid w:val="00FB485E"/>
    <w:rsid w:val="00FB593B"/>
    <w:rsid w:val="00FB6A37"/>
    <w:rsid w:val="00FB6C65"/>
    <w:rsid w:val="00FB6D84"/>
    <w:rsid w:val="00FC3A11"/>
    <w:rsid w:val="00FC7B2B"/>
    <w:rsid w:val="00FD1326"/>
    <w:rsid w:val="00FD3118"/>
    <w:rsid w:val="00FD4327"/>
    <w:rsid w:val="00FD7C48"/>
    <w:rsid w:val="00FE0CA6"/>
    <w:rsid w:val="00FE2CC2"/>
    <w:rsid w:val="00FE758B"/>
    <w:rsid w:val="00FE7E9E"/>
    <w:rsid w:val="00FF280F"/>
    <w:rsid w:val="01C761D7"/>
    <w:rsid w:val="0A821835"/>
    <w:rsid w:val="1A27385F"/>
    <w:rsid w:val="1E564AE7"/>
    <w:rsid w:val="23A53DF4"/>
    <w:rsid w:val="3AC802EF"/>
    <w:rsid w:val="409749EB"/>
    <w:rsid w:val="4162149D"/>
    <w:rsid w:val="46E1611B"/>
    <w:rsid w:val="58A81A34"/>
    <w:rsid w:val="5A1A070F"/>
    <w:rsid w:val="63BE16D8"/>
    <w:rsid w:val="68D0643D"/>
    <w:rsid w:val="73C03C7E"/>
    <w:rsid w:val="7B06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698B8"/>
  <w15:docId w15:val="{3DB5AA19-03B9-4BE1-8AAE-0A95FD25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kern w:val="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  <w:kern w:val="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kern w:val="1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1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kern w:val="1"/>
      <w:sz w:val="18"/>
      <w:szCs w:val="18"/>
    </w:rPr>
  </w:style>
  <w:style w:type="paragraph" w:styleId="af">
    <w:name w:val="No Spacing"/>
    <w:uiPriority w:val="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  <w:sz w:val="21"/>
      <w:szCs w:val="22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59"/>
    <w:qFormat/>
    <w:rPr>
      <w:rFonts w:ascii="Arial" w:eastAsia="楷体_GB2312" w:hAnsi="Arial" w:cs="仿宋_GB2312"/>
      <w:color w:val="000000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Pr>
      <w:rFonts w:ascii="Arial" w:eastAsia="楷体_GB2312" w:hAnsi="Arial" w:cs="仿宋_GB2312"/>
      <w:color w:val="000000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0B66-0297-41B9-8791-578D1B2C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infaith Mancy</dc:creator>
  <cp:lastModifiedBy>boya zhang</cp:lastModifiedBy>
  <cp:revision>11</cp:revision>
  <cp:lastPrinted>2016-12-28T08:39:00Z</cp:lastPrinted>
  <dcterms:created xsi:type="dcterms:W3CDTF">2025-08-15T07:42:00Z</dcterms:created>
  <dcterms:modified xsi:type="dcterms:W3CDTF">2025-08-26T06:46:00Z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4E0B4CB7D42A4F6DA7F5DD4A2C3049FC</vt:lpwstr>
  </property>
</Properties>
</file>