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D57C4">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证券代码：603858         证券简称：</w:t>
      </w:r>
      <w:r>
        <w:rPr>
          <w:rFonts w:hint="eastAsia" w:asciiTheme="minorEastAsia" w:hAnsiTheme="minorEastAsia" w:eastAsiaTheme="minorEastAsia"/>
          <w:sz w:val="24"/>
          <w:szCs w:val="24"/>
        </w:rPr>
        <w:t>步长</w:t>
      </w:r>
      <w:r>
        <w:rPr>
          <w:rFonts w:asciiTheme="minorEastAsia" w:hAnsiTheme="minorEastAsia" w:eastAsiaTheme="minorEastAsia"/>
          <w:sz w:val="24"/>
          <w:szCs w:val="24"/>
        </w:rPr>
        <w:t>制药</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公告编号：2025-132</w:t>
      </w:r>
    </w:p>
    <w:p w14:paraId="2F5BCA54">
      <w:pPr>
        <w:spacing w:before="120" w:beforeLines="50" w:after="120" w:afterLines="50" w:line="360" w:lineRule="auto"/>
        <w:jc w:val="center"/>
        <w:rPr>
          <w:rFonts w:asciiTheme="majorEastAsia" w:hAnsiTheme="majorEastAsia" w:eastAsiaTheme="majorEastAsia"/>
          <w:b/>
          <w:color w:val="FF0000"/>
          <w:sz w:val="32"/>
          <w:szCs w:val="32"/>
        </w:rPr>
      </w:pPr>
      <w:r>
        <w:rPr>
          <w:rFonts w:hint="eastAsia" w:asciiTheme="majorEastAsia" w:hAnsiTheme="majorEastAsia" w:eastAsiaTheme="majorEastAsia"/>
          <w:b/>
          <w:color w:val="FF0000"/>
          <w:sz w:val="32"/>
          <w:szCs w:val="32"/>
        </w:rPr>
        <w:t>山东步长制药股份有限公司</w:t>
      </w:r>
    </w:p>
    <w:p w14:paraId="5B15FEA8">
      <w:pPr>
        <w:spacing w:before="120" w:beforeLines="50" w:after="120" w:afterLines="50" w:line="360" w:lineRule="auto"/>
        <w:jc w:val="center"/>
        <w:rPr>
          <w:rFonts w:asciiTheme="majorEastAsia" w:hAnsiTheme="majorEastAsia" w:eastAsiaTheme="majorEastAsia"/>
          <w:b/>
          <w:color w:val="FF0000"/>
          <w:sz w:val="32"/>
          <w:szCs w:val="32"/>
        </w:rPr>
      </w:pPr>
      <w:r>
        <w:rPr>
          <w:rFonts w:hint="eastAsia" w:asciiTheme="majorEastAsia" w:hAnsiTheme="majorEastAsia" w:eastAsiaTheme="majorEastAsia"/>
          <w:b/>
          <w:color w:val="FF0000"/>
          <w:sz w:val="32"/>
          <w:szCs w:val="32"/>
        </w:rPr>
        <w:t>关于拟放弃优先受让控股子公司股权暨关联交易的公告</w:t>
      </w:r>
    </w:p>
    <w:p w14:paraId="6052D228">
      <w:pPr>
        <w:pBdr>
          <w:top w:val="single" w:color="auto" w:sz="4" w:space="10"/>
          <w:left w:val="single" w:color="auto" w:sz="4" w:space="4"/>
          <w:bottom w:val="single" w:color="auto" w:sz="4" w:space="0"/>
          <w:right w:val="single" w:color="auto" w:sz="4" w:space="4"/>
        </w:pBdr>
        <w:adjustRightInd w:val="0"/>
        <w:snapToGrid w:val="0"/>
        <w:spacing w:before="120" w:beforeLines="50"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sz w:val="24"/>
          <w:szCs w:val="24"/>
        </w:rPr>
        <w:t>本公司董事会及全体董事保证本公告内容不存在任何虚假记载、误导性陈述或者重大遗漏，并对其内容的真实性、准确性和完整性承担法律责任。</w:t>
      </w:r>
    </w:p>
    <w:p w14:paraId="4252EC13">
      <w:pPr>
        <w:pStyle w:val="18"/>
        <w:spacing w:line="360" w:lineRule="auto"/>
        <w:rPr>
          <w:rFonts w:asciiTheme="minorEastAsia" w:hAnsiTheme="minorEastAsia" w:eastAsiaTheme="minorEastAsia"/>
          <w:b/>
          <w:sz w:val="24"/>
          <w:szCs w:val="24"/>
        </w:rPr>
      </w:pPr>
    </w:p>
    <w:p w14:paraId="40F5AB50">
      <w:pPr>
        <w:pStyle w:val="18"/>
        <w:spacing w:after="120" w:afterLines="50" w:line="360" w:lineRule="auto"/>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重要内容提示：</w:t>
      </w:r>
    </w:p>
    <w:p w14:paraId="33D1D7D1">
      <w:pPr>
        <w:pStyle w:val="18"/>
        <w:numPr>
          <w:ilvl w:val="0"/>
          <w:numId w:val="1"/>
        </w:numPr>
        <w:spacing w:after="120" w:afterLines="50" w:line="360" w:lineRule="auto"/>
        <w:outlineLvl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公司控股子公司陕西现代创新的股东刘峰，拟将其持有的陕西现代创新0.50%未实缴股权以0元价格转让给史东鹏，公司全资子公司陕西步长制药同意放弃优先受让权；同时，公司全资子公司陕西步长医药拟将其持有的陕西现代创新30.00%未实缴股权以0元价格转让给陕西步长制药。上述股权转让完成后，公司通过全资子公司陕西步长制药持有陕西现代创新86.50%股权。</w:t>
      </w:r>
    </w:p>
    <w:p w14:paraId="54927837">
      <w:pPr>
        <w:pStyle w:val="18"/>
        <w:numPr>
          <w:ilvl w:val="0"/>
          <w:numId w:val="1"/>
        </w:numPr>
        <w:spacing w:after="120" w:afterLines="50"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王西芳为公司总工程师，曾为公司高级管理人员,陕西现代创新为公司与关联人共同投资的控股子公司，本次放弃优先受让权构成关联交易。</w:t>
      </w:r>
    </w:p>
    <w:p w14:paraId="27882435">
      <w:pPr>
        <w:pStyle w:val="18"/>
        <w:numPr>
          <w:ilvl w:val="0"/>
          <w:numId w:val="1"/>
        </w:numPr>
        <w:spacing w:after="120" w:afterLines="50" w:line="360" w:lineRule="auto"/>
        <w:outlineLvl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本次交易无需提交股东会审议。</w:t>
      </w:r>
    </w:p>
    <w:p w14:paraId="5AEA4724">
      <w:pPr>
        <w:pStyle w:val="18"/>
        <w:numPr>
          <w:ilvl w:val="0"/>
          <w:numId w:val="1"/>
        </w:numPr>
        <w:spacing w:after="120" w:afterLines="50"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本次交易未构成重大资产重组</w:t>
      </w:r>
      <w:bookmarkStart w:id="0" w:name="_Hlk80446591"/>
      <w:r>
        <w:rPr>
          <w:rFonts w:hint="eastAsia" w:asciiTheme="minorEastAsia" w:hAnsiTheme="minorEastAsia" w:eastAsiaTheme="minorEastAsia"/>
          <w:sz w:val="24"/>
          <w:szCs w:val="24"/>
        </w:rPr>
        <w:t>。</w:t>
      </w:r>
    </w:p>
    <w:p w14:paraId="49F30736">
      <w:pPr>
        <w:pStyle w:val="18"/>
        <w:numPr>
          <w:ilvl w:val="0"/>
          <w:numId w:val="1"/>
        </w:numPr>
        <w:spacing w:after="120" w:afterLines="50"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过去12个月公司与王西芳进行</w:t>
      </w:r>
      <w:r>
        <w:rPr>
          <w:rFonts w:asciiTheme="minorEastAsia" w:hAnsiTheme="minorEastAsia" w:eastAsiaTheme="minorEastAsia"/>
          <w:sz w:val="24"/>
          <w:szCs w:val="24"/>
        </w:rPr>
        <w:t>1</w:t>
      </w:r>
      <w:r>
        <w:rPr>
          <w:rFonts w:hint="eastAsia" w:asciiTheme="minorEastAsia" w:hAnsiTheme="minorEastAsia" w:eastAsiaTheme="minorEastAsia"/>
          <w:sz w:val="24"/>
          <w:szCs w:val="24"/>
        </w:rPr>
        <w:t>次关联交易，交易金额为</w:t>
      </w:r>
      <w:r>
        <w:rPr>
          <w:rFonts w:asciiTheme="minorEastAsia" w:hAnsiTheme="minorEastAsia" w:eastAsiaTheme="minorEastAsia"/>
          <w:sz w:val="24"/>
          <w:szCs w:val="24"/>
        </w:rPr>
        <w:t>2,595</w:t>
      </w:r>
      <w:r>
        <w:rPr>
          <w:rFonts w:hint="eastAsia" w:asciiTheme="minorEastAsia" w:hAnsiTheme="minorEastAsia" w:eastAsiaTheme="minorEastAsia"/>
          <w:sz w:val="24"/>
          <w:szCs w:val="24"/>
        </w:rPr>
        <w:t>万元。</w:t>
      </w:r>
    </w:p>
    <w:bookmarkEnd w:id="0"/>
    <w:p w14:paraId="3BB582E8">
      <w:pPr>
        <w:pStyle w:val="18"/>
        <w:spacing w:line="360" w:lineRule="auto"/>
        <w:ind w:firstLine="482" w:firstLineChars="200"/>
        <w:outlineLvl w:val="0"/>
        <w:rPr>
          <w:rFonts w:asciiTheme="minorEastAsia" w:hAnsiTheme="minorEastAsia" w:eastAsiaTheme="minorEastAsia"/>
          <w:b/>
          <w:sz w:val="24"/>
          <w:szCs w:val="24"/>
        </w:rPr>
      </w:pPr>
    </w:p>
    <w:p w14:paraId="1B2D4F0A">
      <w:pPr>
        <w:pStyle w:val="18"/>
        <w:spacing w:after="120" w:afterLines="50" w:line="360" w:lineRule="auto"/>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一</w:t>
      </w:r>
      <w:r>
        <w:rPr>
          <w:rFonts w:hint="eastAsia" w:asciiTheme="minorEastAsia" w:hAnsiTheme="minorEastAsia" w:eastAsiaTheme="minorEastAsia"/>
          <w:b/>
          <w:sz w:val="24"/>
          <w:szCs w:val="24"/>
        </w:rPr>
        <w:t>、交易概述</w:t>
      </w:r>
    </w:p>
    <w:p w14:paraId="7702D34F">
      <w:pPr>
        <w:pStyle w:val="18"/>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山东步长制药股份有限公司（以下简称“公司”或“步长制药”）控股子公司陕西现代创新中药研究院有限公司（以下简称“陕西现代创新”）的股东刘峰，拟将其持有的陕西现代创新</w:t>
      </w:r>
      <w:r>
        <w:rPr>
          <w:rFonts w:asciiTheme="minorEastAsia" w:hAnsiTheme="minorEastAsia" w:eastAsiaTheme="minorEastAsia"/>
          <w:sz w:val="24"/>
          <w:szCs w:val="24"/>
        </w:rPr>
        <w:t>0.50%</w:t>
      </w:r>
      <w:r>
        <w:rPr>
          <w:rFonts w:hint="eastAsia" w:asciiTheme="minorEastAsia" w:hAnsiTheme="minorEastAsia" w:eastAsiaTheme="minorEastAsia"/>
          <w:sz w:val="24"/>
          <w:szCs w:val="24"/>
        </w:rPr>
        <w:t>未实缴股权以</w:t>
      </w:r>
      <w:r>
        <w:rPr>
          <w:rFonts w:asciiTheme="minorEastAsia" w:hAnsiTheme="minorEastAsia" w:eastAsiaTheme="minorEastAsia"/>
          <w:sz w:val="24"/>
          <w:szCs w:val="24"/>
        </w:rPr>
        <w:t>0</w:t>
      </w:r>
      <w:r>
        <w:rPr>
          <w:rFonts w:hint="eastAsia" w:asciiTheme="minorEastAsia" w:hAnsiTheme="minorEastAsia" w:eastAsiaTheme="minorEastAsia"/>
          <w:sz w:val="24"/>
          <w:szCs w:val="24"/>
        </w:rPr>
        <w:t>元价格转让给史东鹏，公司全资子公司陕西步长制药有限公司（以下简称“陕西步长制药”）同意放弃优先受让权；同时，公司全资子公司陕西步长医药研究院有限公司</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以下简称“陕西步长医药</w:t>
      </w:r>
      <w:bookmarkStart w:id="1" w:name="_GoBack"/>
      <w:bookmarkEnd w:id="1"/>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拟将其持有的陕西现代创新</w:t>
      </w:r>
      <w:r>
        <w:rPr>
          <w:rFonts w:asciiTheme="minorEastAsia" w:hAnsiTheme="minorEastAsia" w:eastAsiaTheme="minorEastAsia"/>
          <w:sz w:val="24"/>
          <w:szCs w:val="24"/>
        </w:rPr>
        <w:t>30.00%</w:t>
      </w:r>
      <w:r>
        <w:rPr>
          <w:rFonts w:hint="eastAsia" w:asciiTheme="minorEastAsia" w:hAnsiTheme="minorEastAsia" w:eastAsiaTheme="minorEastAsia"/>
          <w:sz w:val="24"/>
          <w:szCs w:val="24"/>
        </w:rPr>
        <w:t>未实缴股权以</w:t>
      </w:r>
      <w:r>
        <w:rPr>
          <w:rFonts w:asciiTheme="minorEastAsia" w:hAnsiTheme="minorEastAsia" w:eastAsiaTheme="minorEastAsia"/>
          <w:sz w:val="24"/>
          <w:szCs w:val="24"/>
        </w:rPr>
        <w:t>0</w:t>
      </w:r>
      <w:r>
        <w:rPr>
          <w:rFonts w:hint="eastAsia" w:asciiTheme="minorEastAsia" w:hAnsiTheme="minorEastAsia" w:eastAsiaTheme="minorEastAsia"/>
          <w:sz w:val="24"/>
          <w:szCs w:val="24"/>
        </w:rPr>
        <w:t>元价格转让给陕西步长制药。上述股权转让完成后，公司通过陕西步长制药持有陕西现代创新</w:t>
      </w:r>
      <w:r>
        <w:rPr>
          <w:rFonts w:asciiTheme="minorEastAsia" w:hAnsiTheme="minorEastAsia" w:eastAsiaTheme="minorEastAsia"/>
          <w:sz w:val="24"/>
          <w:szCs w:val="24"/>
        </w:rPr>
        <w:t>86.50%</w:t>
      </w:r>
      <w:r>
        <w:rPr>
          <w:rFonts w:hint="eastAsia" w:asciiTheme="minorEastAsia" w:hAnsiTheme="minorEastAsia" w:eastAsiaTheme="minorEastAsia"/>
          <w:sz w:val="24"/>
          <w:szCs w:val="24"/>
        </w:rPr>
        <w:t>股权。</w:t>
      </w:r>
    </w:p>
    <w:p w14:paraId="7A620986">
      <w:pPr>
        <w:pStyle w:val="18"/>
        <w:spacing w:after="120" w:afterLines="50" w:line="360" w:lineRule="auto"/>
        <w:ind w:firstLine="480" w:firstLineChars="200"/>
        <w:outlineLvl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4"/>
        </w:rPr>
        <w:t>根据《上海证券交易所上市公司自律监管指引第5号——交易与关联交易》《山东步长制药股份有限公司关联交易决策制度》等规定，陕西现代创新为公司全资子公司陕西步长制药、陕西步长医药与关联人王西芳共同投资的控股子公司，本次放弃优先受让权构成公司关联交易</w:t>
      </w:r>
      <w:r>
        <w:rPr>
          <w:rFonts w:hint="eastAsia" w:asciiTheme="minorEastAsia" w:hAnsiTheme="minorEastAsia" w:eastAsiaTheme="minorEastAsia"/>
          <w:color w:val="000000" w:themeColor="text1"/>
          <w:sz w:val="24"/>
          <w:szCs w:val="24"/>
          <w14:textFill>
            <w14:solidFill>
              <w14:schemeClr w14:val="tx1"/>
            </w14:solidFill>
          </w14:textFill>
        </w:rPr>
        <w:t>。</w:t>
      </w:r>
    </w:p>
    <w:p w14:paraId="57B01A97">
      <w:pPr>
        <w:pStyle w:val="18"/>
        <w:spacing w:after="120" w:afterLines="50" w:line="360" w:lineRule="auto"/>
        <w:ind w:firstLine="424" w:firstLineChars="177"/>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本次交易不构成《上市公司重大资产重组管理办法》规定的重大资产重组。</w:t>
      </w:r>
    </w:p>
    <w:p w14:paraId="0D7EC60E">
      <w:pPr>
        <w:pStyle w:val="18"/>
        <w:spacing w:after="120" w:afterLines="50" w:line="360" w:lineRule="auto"/>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、关联方基本情况</w:t>
      </w:r>
    </w:p>
    <w:p w14:paraId="3F4D0244">
      <w:pPr>
        <w:pStyle w:val="18"/>
        <w:spacing w:after="120" w:afterLines="50" w:line="360" w:lineRule="auto"/>
        <w:ind w:firstLine="480" w:firstLineChars="200"/>
        <w:outlineLvl w:val="0"/>
        <w:rPr>
          <w:rFonts w:cs="Arial" w:asciiTheme="minorEastAsia" w:hAnsiTheme="minorEastAsia" w:eastAsiaTheme="minorEastAsia"/>
          <w:sz w:val="24"/>
          <w:szCs w:val="24"/>
          <w:shd w:val="clear" w:color="auto" w:fill="FFFFFF"/>
        </w:rPr>
      </w:pPr>
      <w:r>
        <w:rPr>
          <w:rFonts w:hint="eastAsia" w:cs="Arial" w:asciiTheme="minorEastAsia" w:hAnsiTheme="minorEastAsia" w:eastAsiaTheme="minorEastAsia"/>
          <w:sz w:val="24"/>
          <w:szCs w:val="24"/>
          <w:shd w:val="clear" w:color="auto" w:fill="FFFFFF"/>
        </w:rPr>
        <w:t>王西芳为公司总工程师，过去1</w:t>
      </w:r>
      <w:r>
        <w:rPr>
          <w:rFonts w:cs="Arial" w:asciiTheme="minorEastAsia" w:hAnsiTheme="minorEastAsia" w:eastAsiaTheme="minorEastAsia"/>
          <w:sz w:val="24"/>
          <w:szCs w:val="24"/>
          <w:shd w:val="clear" w:color="auto" w:fill="FFFFFF"/>
        </w:rPr>
        <w:t>2</w:t>
      </w:r>
      <w:r>
        <w:rPr>
          <w:rFonts w:hint="eastAsia" w:cs="Arial" w:asciiTheme="minorEastAsia" w:hAnsiTheme="minorEastAsia" w:eastAsiaTheme="minorEastAsia"/>
          <w:sz w:val="24"/>
          <w:szCs w:val="24"/>
          <w:shd w:val="clear" w:color="auto" w:fill="FFFFFF"/>
        </w:rPr>
        <w:t>个月内曾为公司高级管理人员。根据《上海证券交易所股票上市规则》及《上海证券交易所上市公司自律监管指引第5号——交易与关联交易》的有关规定，王西芳为公司关联自然人，构成关联关系。</w:t>
      </w:r>
    </w:p>
    <w:p w14:paraId="6AD2BED0">
      <w:pPr>
        <w:pStyle w:val="18"/>
        <w:spacing w:after="120" w:afterLines="50" w:line="360" w:lineRule="auto"/>
        <w:ind w:firstLine="482" w:firstLineChars="200"/>
        <w:outlineLvl w:val="0"/>
        <w:rPr>
          <w:rFonts w:asciiTheme="minorEastAsia" w:hAnsiTheme="minorEastAsia" w:eastAsiaTheme="minorEastAsia"/>
          <w:b/>
          <w:sz w:val="24"/>
          <w:szCs w:val="24"/>
        </w:rPr>
      </w:pPr>
      <w:r>
        <w:rPr>
          <w:rFonts w:asciiTheme="minorEastAsia" w:hAnsiTheme="minorEastAsia" w:eastAsiaTheme="minorEastAsia"/>
          <w:b/>
          <w:sz w:val="24"/>
          <w:szCs w:val="24"/>
        </w:rPr>
        <w:t>三</w:t>
      </w:r>
      <w:r>
        <w:rPr>
          <w:rFonts w:hint="eastAsia" w:asciiTheme="minorEastAsia" w:hAnsiTheme="minorEastAsia" w:eastAsiaTheme="minorEastAsia"/>
          <w:b/>
          <w:sz w:val="24"/>
          <w:szCs w:val="24"/>
        </w:rPr>
        <w:t>、受让方基本情况</w:t>
      </w:r>
    </w:p>
    <w:p w14:paraId="37757D74">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（一）史东鹏，现任公司基建材料采购部部长。</w:t>
      </w:r>
    </w:p>
    <w:p w14:paraId="53FC4AED">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（二）陕西步长制药</w:t>
      </w:r>
    </w:p>
    <w:p w14:paraId="61139FDD">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1.基本信息</w:t>
      </w:r>
    </w:p>
    <w:p w14:paraId="532248D7">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名称：陕西步长制药有限公司</w:t>
      </w:r>
    </w:p>
    <w:p w14:paraId="1C921DCF">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类型：有限责任公司（外商投资企业法人独资）</w:t>
      </w:r>
    </w:p>
    <w:p w14:paraId="315B5C8C">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法定代表人：赵超</w:t>
      </w:r>
    </w:p>
    <w:p w14:paraId="7C88E829">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注册资本：</w:t>
      </w:r>
      <w:r>
        <w:rPr>
          <w:rFonts w:asciiTheme="minorEastAsia" w:hAnsiTheme="minorEastAsia" w:eastAsiaTheme="minorEastAsia"/>
          <w:sz w:val="24"/>
          <w:szCs w:val="24"/>
        </w:rPr>
        <w:t>2,500</w:t>
      </w:r>
      <w:r>
        <w:rPr>
          <w:rFonts w:hint="eastAsia" w:asciiTheme="minorEastAsia" w:hAnsiTheme="minorEastAsia" w:eastAsiaTheme="minorEastAsia"/>
          <w:sz w:val="24"/>
          <w:szCs w:val="24"/>
        </w:rPr>
        <w:t>万元人民币</w:t>
      </w:r>
    </w:p>
    <w:p w14:paraId="1BBB0CF3">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成立日期：2</w:t>
      </w:r>
      <w:r>
        <w:rPr>
          <w:rFonts w:asciiTheme="minorEastAsia" w:hAnsiTheme="minorEastAsia" w:eastAsiaTheme="minorEastAsia"/>
          <w:sz w:val="24"/>
          <w:szCs w:val="24"/>
        </w:rPr>
        <w:t>009</w:t>
      </w:r>
      <w:r>
        <w:rPr>
          <w:rFonts w:hint="eastAsia" w:asciiTheme="minorEastAsia" w:hAnsiTheme="minorEastAsia" w:eastAsiaTheme="minorEastAsia"/>
          <w:sz w:val="24"/>
          <w:szCs w:val="24"/>
        </w:rPr>
        <w:t>年1</w:t>
      </w:r>
      <w:r>
        <w:rPr>
          <w:rFonts w:asciiTheme="minorEastAsia" w:hAnsiTheme="minorEastAsia" w:eastAsiaTheme="minorEastAsia"/>
          <w:sz w:val="24"/>
          <w:szCs w:val="24"/>
        </w:rPr>
        <w:t>1</w:t>
      </w:r>
      <w:r>
        <w:rPr>
          <w:rFonts w:hint="eastAsia" w:asciiTheme="minorEastAsia" w:hAnsiTheme="minorEastAsia" w:eastAsiaTheme="minorEastAsia"/>
          <w:sz w:val="24"/>
          <w:szCs w:val="24"/>
        </w:rPr>
        <w:t>月</w:t>
      </w:r>
      <w:r>
        <w:rPr>
          <w:rFonts w:asciiTheme="minorEastAsia" w:hAnsiTheme="minorEastAsia" w:eastAsiaTheme="minorEastAsia"/>
          <w:sz w:val="24"/>
          <w:szCs w:val="24"/>
        </w:rPr>
        <w:t>19</w:t>
      </w:r>
      <w:r>
        <w:rPr>
          <w:rFonts w:hint="eastAsia" w:asciiTheme="minorEastAsia" w:hAnsiTheme="minorEastAsia" w:eastAsiaTheme="minorEastAsia"/>
          <w:sz w:val="24"/>
          <w:szCs w:val="24"/>
        </w:rPr>
        <w:t>日</w:t>
      </w:r>
    </w:p>
    <w:p w14:paraId="4312C377">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住所：陕西省咸阳市秦都区步长路1</w:t>
      </w:r>
      <w:r>
        <w:rPr>
          <w:rFonts w:asciiTheme="minorEastAsia" w:hAnsiTheme="minorEastAsia" w:eastAsiaTheme="minorEastAsia"/>
          <w:sz w:val="24"/>
          <w:szCs w:val="24"/>
        </w:rPr>
        <w:t>6</w:t>
      </w:r>
      <w:r>
        <w:rPr>
          <w:rFonts w:hint="eastAsia" w:asciiTheme="minorEastAsia" w:hAnsiTheme="minorEastAsia" w:eastAsiaTheme="minorEastAsia"/>
          <w:sz w:val="24"/>
          <w:szCs w:val="24"/>
        </w:rPr>
        <w:t>号</w:t>
      </w:r>
    </w:p>
    <w:p w14:paraId="3B05AB14">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经营范围：一般项目：技术服务、技术开发、技术咨询、技术交流、技术转让、技术推广；中草药种植（除依法须经批准的项目外，凭营业执照依法自主开展经营活动）。许可项目：药品生产；药品批发；药品委托生产（依法须经批准的项目，经相关部门批准后方可开展经营活动，具体经营项目以审批结果为准）。</w:t>
      </w:r>
    </w:p>
    <w:p w14:paraId="2AD7DD06">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主要财务数据</w:t>
      </w:r>
    </w:p>
    <w:p w14:paraId="7D4C75AF">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截至2024年12月31日，资产总额394,495.17万元，负债总额298,610.91万元，净资产95,884.26万元，2024年度实现营业收入286,013.19万元，净利润33,353.23万元。（上述数据经审计）</w:t>
      </w:r>
    </w:p>
    <w:p w14:paraId="1E8AA654">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截至2025年3月31日，资产总额405,004.18万元，负债总额301,092.60万元，净资产103,911.58万元，2025年1-3月实现营业收入71,618.82万元，净利润8,027.32万元。（上述数据未经审计）</w:t>
      </w:r>
    </w:p>
    <w:p w14:paraId="235E7693">
      <w:pPr>
        <w:pBdr>
          <w:bottom w:val="none" w:color="000000" w:sz="0" w:space="5"/>
        </w:pBdr>
        <w:snapToGrid w:val="0"/>
        <w:spacing w:after="120" w:afterLines="50" w:line="360" w:lineRule="auto"/>
        <w:ind w:firstLine="480" w:firstLineChars="200"/>
        <w:contextualSpacing/>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股权结构</w:t>
      </w:r>
    </w:p>
    <w:p w14:paraId="63875A1F">
      <w:pPr>
        <w:pBdr>
          <w:bottom w:val="none" w:color="000000" w:sz="0" w:space="5"/>
        </w:pBdr>
        <w:snapToGrid w:val="0"/>
        <w:spacing w:after="120" w:afterLines="50" w:line="360"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陕西步长制药为公司全资子公司。</w:t>
      </w:r>
    </w:p>
    <w:p w14:paraId="3AF2CC17">
      <w:pPr>
        <w:pBdr>
          <w:bottom w:val="none" w:color="000000" w:sz="0" w:space="5"/>
        </w:pBdr>
        <w:snapToGrid w:val="0"/>
        <w:spacing w:after="120" w:afterLines="50" w:line="360" w:lineRule="auto"/>
        <w:ind w:firstLine="482" w:firstLineChars="200"/>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四、交易标的基本情况</w:t>
      </w:r>
    </w:p>
    <w:p w14:paraId="4AEAA2CC">
      <w:pPr>
        <w:pBdr>
          <w:bottom w:val="none" w:color="000000" w:sz="0" w:space="5"/>
        </w:pBdr>
        <w:snapToGrid w:val="0"/>
        <w:spacing w:after="120" w:afterLines="50" w:line="360" w:lineRule="auto"/>
        <w:ind w:firstLine="482" w:firstLineChars="200"/>
        <w:contextualSpacing/>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（一）基本信息</w:t>
      </w:r>
    </w:p>
    <w:p w14:paraId="263113EF">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名称：陕西现代创新中药研究院有限公司</w:t>
      </w:r>
    </w:p>
    <w:p w14:paraId="681651F0">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类型：其他有限责任公司</w:t>
      </w:r>
    </w:p>
    <w:p w14:paraId="4FFDCC0B">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法定代表人：张伟</w:t>
      </w:r>
    </w:p>
    <w:p w14:paraId="199E5314">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注册资本：2</w:t>
      </w:r>
      <w:r>
        <w:rPr>
          <w:rFonts w:asciiTheme="minorEastAsia" w:hAnsiTheme="minorEastAsia" w:eastAsiaTheme="minorEastAsia"/>
          <w:sz w:val="24"/>
          <w:szCs w:val="24"/>
        </w:rPr>
        <w:t>,000</w:t>
      </w:r>
      <w:r>
        <w:rPr>
          <w:rFonts w:hint="eastAsia" w:asciiTheme="minorEastAsia" w:hAnsiTheme="minorEastAsia" w:eastAsiaTheme="minorEastAsia"/>
          <w:sz w:val="24"/>
          <w:szCs w:val="24"/>
        </w:rPr>
        <w:t>万元人民币</w:t>
      </w:r>
    </w:p>
    <w:p w14:paraId="34EE323E">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成立日期：2020年11月20日</w:t>
      </w:r>
    </w:p>
    <w:p w14:paraId="15CCF7A2">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住所：陕西省咸阳市秦都区渭阳西路西延段123号</w:t>
      </w:r>
    </w:p>
    <w:p w14:paraId="17296422">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经营范围：一般项目：医学研究和试验发展；技术服务、技术开发、技术咨询、技术交流、技术转让、技术推广；企业管理咨询；软件开发；软件销售；大数据服务；销售代理；智能控制系统集成（上述项目仅限药学领域）；中草药种植；中草药收购；制药专用设备制造；制药专用设备销售；工程管理服务；专业设计服务；专用设备修理；工业自动控制系统装置销售；运行效能评估服务；日用化学产品制造；日用化学产品销售；药物检测仪器制造；药物检测仪器销售；环境保护专用设备制造；环境保护专用设备销售；资源再生利用技术研发（除依法须经批准的项目外，凭营业执照依法自主开展经营活动）。许可项目：药品生产；药品批发；保健食品生产；检验检测服务；特殊医学用途配方食品生产；特殊医学用途配方食品销售；建设工程监理；工程造价咨询业务；建筑智能化系统设计；建筑智能化工程施工(依法须经批准的项目，经相关部门批准后方可开展经营活动，具体经营项目以审批结果为准)。</w:t>
      </w:r>
    </w:p>
    <w:p w14:paraId="598BB202">
      <w:pPr>
        <w:pStyle w:val="18"/>
        <w:pBdr>
          <w:bottom w:val="none" w:color="000000" w:sz="0" w:space="5"/>
        </w:pBdr>
        <w:spacing w:after="120" w:afterLines="50" w:line="360" w:lineRule="auto"/>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（二）本次交易前后股权结构变化情况</w:t>
      </w:r>
    </w:p>
    <w:p w14:paraId="67D98DBF">
      <w:pPr>
        <w:pStyle w:val="18"/>
        <w:pBdr>
          <w:bottom w:val="none" w:color="000000" w:sz="0" w:space="5"/>
        </w:pBdr>
        <w:spacing w:after="120" w:afterLines="50" w:line="360" w:lineRule="auto"/>
        <w:ind w:firstLine="482" w:firstLineChars="200"/>
        <w:outlineLvl w:val="0"/>
        <w:rPr>
          <w:rFonts w:hint="eastAsia" w:asciiTheme="minorEastAsia" w:hAnsiTheme="minorEastAsia" w:eastAsiaTheme="minorEastAsia"/>
          <w:b/>
          <w:sz w:val="24"/>
          <w:szCs w:val="24"/>
        </w:rPr>
      </w:pPr>
    </w:p>
    <w:tbl>
      <w:tblPr>
        <w:tblStyle w:val="9"/>
        <w:tblW w:w="85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2693"/>
        <w:gridCol w:w="2551"/>
        <w:gridCol w:w="2410"/>
      </w:tblGrid>
      <w:tr w14:paraId="1D4EDD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3623817F">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14:paraId="74E857E5">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股东名称（姓名）</w:t>
            </w:r>
          </w:p>
        </w:tc>
        <w:tc>
          <w:tcPr>
            <w:tcW w:w="2551" w:type="dxa"/>
            <w:vAlign w:val="center"/>
          </w:tcPr>
          <w:p w14:paraId="7DEFE99E">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本次交易前持股比例</w:t>
            </w:r>
          </w:p>
        </w:tc>
        <w:tc>
          <w:tcPr>
            <w:tcW w:w="2410" w:type="dxa"/>
            <w:vAlign w:val="center"/>
          </w:tcPr>
          <w:p w14:paraId="1E5762E6">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本次交易后持股比例</w:t>
            </w:r>
          </w:p>
        </w:tc>
      </w:tr>
      <w:tr w14:paraId="5620FA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2B85FA4F">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693" w:type="dxa"/>
            <w:vAlign w:val="center"/>
          </w:tcPr>
          <w:p w14:paraId="2E91ABB1">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陕西步长制药</w:t>
            </w:r>
          </w:p>
        </w:tc>
        <w:tc>
          <w:tcPr>
            <w:tcW w:w="2551" w:type="dxa"/>
            <w:vAlign w:val="center"/>
          </w:tcPr>
          <w:p w14:paraId="348AF56B">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56.50%</w:t>
            </w:r>
          </w:p>
        </w:tc>
        <w:tc>
          <w:tcPr>
            <w:tcW w:w="2410" w:type="dxa"/>
            <w:vAlign w:val="center"/>
          </w:tcPr>
          <w:p w14:paraId="30244FFF">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86.50%</w:t>
            </w:r>
          </w:p>
        </w:tc>
      </w:tr>
      <w:tr w14:paraId="1BAAB2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1013CF50">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693" w:type="dxa"/>
            <w:vAlign w:val="center"/>
          </w:tcPr>
          <w:p w14:paraId="769A3DE3">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陕西步长医药</w:t>
            </w:r>
          </w:p>
        </w:tc>
        <w:tc>
          <w:tcPr>
            <w:tcW w:w="2551" w:type="dxa"/>
            <w:vAlign w:val="center"/>
          </w:tcPr>
          <w:p w14:paraId="7EDEB0CB">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30.00%</w:t>
            </w:r>
          </w:p>
        </w:tc>
        <w:tc>
          <w:tcPr>
            <w:tcW w:w="2410" w:type="dxa"/>
            <w:vAlign w:val="center"/>
          </w:tcPr>
          <w:p w14:paraId="73ED1450">
            <w:pPr>
              <w:pStyle w:val="18"/>
              <w:pBdr>
                <w:top w:val="none" w:color="auto" w:sz="0" w:space="0"/>
                <w:left w:val="none" w:color="auto" w:sz="0" w:space="0"/>
                <w:bottom w:val="none" w:color="auto" w:sz="0" w:space="0"/>
                <w:right w:val="none" w:color="auto" w:sz="0" w:space="0"/>
                <w:between w:val="none" w:color="auto" w:sz="0" w:space="0"/>
              </w:pBdr>
              <w:ind w:firstLine="843" w:firstLineChars="350"/>
              <w:outlineLvl w:val="0"/>
              <w:rPr>
                <w:rFonts w:asciiTheme="minorEastAsia" w:hAnsiTheme="minorEastAsia" w:eastAsiaTheme="minorEastAsia"/>
                <w:b/>
                <w:sz w:val="24"/>
                <w:szCs w:val="24"/>
              </w:rPr>
            </w:pPr>
            <w:r>
              <w:rPr>
                <w:rFonts w:asciiTheme="minorEastAsia" w:hAnsiTheme="minorEastAsia" w:eastAsiaTheme="minorEastAsia"/>
                <w:b/>
                <w:sz w:val="24"/>
                <w:szCs w:val="24"/>
              </w:rPr>
              <w:t>-</w:t>
            </w:r>
          </w:p>
        </w:tc>
      </w:tr>
      <w:tr w14:paraId="73DBAA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29C7ABF7">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2693" w:type="dxa"/>
            <w:vAlign w:val="center"/>
          </w:tcPr>
          <w:p w14:paraId="76D86018">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陕西新丝路质量检测技术评估有限公司</w:t>
            </w:r>
          </w:p>
        </w:tc>
        <w:tc>
          <w:tcPr>
            <w:tcW w:w="2551" w:type="dxa"/>
            <w:vAlign w:val="center"/>
          </w:tcPr>
          <w:p w14:paraId="2FD4C0D2">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asciiTheme="minorEastAsia" w:hAnsiTheme="minorEastAsia" w:eastAsiaTheme="minorEastAsia"/>
                <w:sz w:val="24"/>
                <w:szCs w:val="24"/>
              </w:rPr>
              <w:t>10.00%</w:t>
            </w:r>
          </w:p>
        </w:tc>
        <w:tc>
          <w:tcPr>
            <w:tcW w:w="2410" w:type="dxa"/>
            <w:vAlign w:val="center"/>
          </w:tcPr>
          <w:p w14:paraId="2F95172B">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asciiTheme="minorEastAsia" w:hAnsiTheme="minorEastAsia" w:eastAsiaTheme="minorEastAsia"/>
                <w:sz w:val="24"/>
                <w:szCs w:val="24"/>
              </w:rPr>
              <w:t>10.00%</w:t>
            </w:r>
          </w:p>
        </w:tc>
      </w:tr>
      <w:tr w14:paraId="629006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375AD085">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693" w:type="dxa"/>
            <w:vAlign w:val="center"/>
          </w:tcPr>
          <w:p w14:paraId="3F4CC199">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王西芳</w:t>
            </w:r>
          </w:p>
        </w:tc>
        <w:tc>
          <w:tcPr>
            <w:tcW w:w="2551" w:type="dxa"/>
            <w:vAlign w:val="center"/>
          </w:tcPr>
          <w:p w14:paraId="7B657A2E">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asciiTheme="minorEastAsia" w:hAnsiTheme="minorEastAsia" w:eastAsiaTheme="minorEastAsia"/>
                <w:sz w:val="24"/>
                <w:szCs w:val="24"/>
              </w:rPr>
              <w:t>0.50%</w:t>
            </w:r>
          </w:p>
        </w:tc>
        <w:tc>
          <w:tcPr>
            <w:tcW w:w="2410" w:type="dxa"/>
            <w:vAlign w:val="center"/>
          </w:tcPr>
          <w:p w14:paraId="52EA9676">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asciiTheme="minorEastAsia" w:hAnsiTheme="minorEastAsia" w:eastAsiaTheme="minorEastAsia"/>
                <w:sz w:val="24"/>
                <w:szCs w:val="24"/>
              </w:rPr>
              <w:t>0.50%</w:t>
            </w:r>
          </w:p>
        </w:tc>
      </w:tr>
      <w:tr w14:paraId="725DFE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235CE1E7">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693" w:type="dxa"/>
            <w:vAlign w:val="center"/>
          </w:tcPr>
          <w:p w14:paraId="60F699C3">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王明耿</w:t>
            </w:r>
          </w:p>
        </w:tc>
        <w:tc>
          <w:tcPr>
            <w:tcW w:w="2551" w:type="dxa"/>
          </w:tcPr>
          <w:p w14:paraId="7F443A20">
            <w:pPr>
              <w:jc w:val="center"/>
            </w:pPr>
            <w:r>
              <w:rPr>
                <w:rFonts w:asciiTheme="minorEastAsia" w:hAnsiTheme="minorEastAsia" w:eastAsiaTheme="minorEastAsia"/>
                <w:sz w:val="24"/>
                <w:szCs w:val="24"/>
              </w:rPr>
              <w:t>0.50%</w:t>
            </w:r>
          </w:p>
        </w:tc>
        <w:tc>
          <w:tcPr>
            <w:tcW w:w="2410" w:type="dxa"/>
          </w:tcPr>
          <w:p w14:paraId="46847116">
            <w:pPr>
              <w:jc w:val="center"/>
            </w:pPr>
            <w:r>
              <w:rPr>
                <w:rFonts w:asciiTheme="minorEastAsia" w:hAnsiTheme="minorEastAsia" w:eastAsiaTheme="minorEastAsia"/>
                <w:sz w:val="24"/>
                <w:szCs w:val="24"/>
              </w:rPr>
              <w:t>0.50%</w:t>
            </w:r>
          </w:p>
        </w:tc>
      </w:tr>
      <w:tr w14:paraId="25986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6A195EE2">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693" w:type="dxa"/>
            <w:vAlign w:val="center"/>
          </w:tcPr>
          <w:p w14:paraId="6AF701AA">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郑伶俐</w:t>
            </w:r>
          </w:p>
        </w:tc>
        <w:tc>
          <w:tcPr>
            <w:tcW w:w="2551" w:type="dxa"/>
          </w:tcPr>
          <w:p w14:paraId="52F6896A">
            <w:pPr>
              <w:jc w:val="center"/>
            </w:pPr>
            <w:r>
              <w:rPr>
                <w:rFonts w:asciiTheme="minorEastAsia" w:hAnsiTheme="minorEastAsia" w:eastAsiaTheme="minorEastAsia"/>
                <w:sz w:val="24"/>
                <w:szCs w:val="24"/>
              </w:rPr>
              <w:t>0.50%</w:t>
            </w:r>
          </w:p>
        </w:tc>
        <w:tc>
          <w:tcPr>
            <w:tcW w:w="2410" w:type="dxa"/>
          </w:tcPr>
          <w:p w14:paraId="1B6306C9">
            <w:pPr>
              <w:jc w:val="center"/>
            </w:pPr>
            <w:r>
              <w:rPr>
                <w:rFonts w:asciiTheme="minorEastAsia" w:hAnsiTheme="minorEastAsia" w:eastAsiaTheme="minorEastAsia"/>
                <w:sz w:val="24"/>
                <w:szCs w:val="24"/>
              </w:rPr>
              <w:t>0.50%</w:t>
            </w:r>
          </w:p>
        </w:tc>
      </w:tr>
      <w:tr w14:paraId="4B7960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74238AB2">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693" w:type="dxa"/>
            <w:vAlign w:val="center"/>
          </w:tcPr>
          <w:p w14:paraId="05664B98">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张卫民</w:t>
            </w:r>
          </w:p>
        </w:tc>
        <w:tc>
          <w:tcPr>
            <w:tcW w:w="2551" w:type="dxa"/>
          </w:tcPr>
          <w:p w14:paraId="768E2811">
            <w:pPr>
              <w:jc w:val="center"/>
            </w:pPr>
            <w:r>
              <w:rPr>
                <w:rFonts w:asciiTheme="minorEastAsia" w:hAnsiTheme="minorEastAsia" w:eastAsiaTheme="minorEastAsia"/>
                <w:sz w:val="24"/>
                <w:szCs w:val="24"/>
              </w:rPr>
              <w:t>0.50%</w:t>
            </w:r>
          </w:p>
        </w:tc>
        <w:tc>
          <w:tcPr>
            <w:tcW w:w="2410" w:type="dxa"/>
          </w:tcPr>
          <w:p w14:paraId="3276D3F1">
            <w:pPr>
              <w:jc w:val="center"/>
            </w:pPr>
            <w:r>
              <w:rPr>
                <w:rFonts w:asciiTheme="minorEastAsia" w:hAnsiTheme="minorEastAsia" w:eastAsiaTheme="minorEastAsia"/>
                <w:sz w:val="24"/>
                <w:szCs w:val="24"/>
              </w:rPr>
              <w:t>0.50%</w:t>
            </w:r>
          </w:p>
        </w:tc>
      </w:tr>
      <w:tr w14:paraId="5EF3E0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4C594AF7">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693" w:type="dxa"/>
            <w:vAlign w:val="center"/>
          </w:tcPr>
          <w:p w14:paraId="37B6A0F9">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张伟</w:t>
            </w:r>
          </w:p>
        </w:tc>
        <w:tc>
          <w:tcPr>
            <w:tcW w:w="2551" w:type="dxa"/>
          </w:tcPr>
          <w:p w14:paraId="3DC7C995">
            <w:pPr>
              <w:jc w:val="center"/>
            </w:pPr>
            <w:r>
              <w:rPr>
                <w:rFonts w:asciiTheme="minorEastAsia" w:hAnsiTheme="minorEastAsia" w:eastAsiaTheme="minorEastAsia"/>
                <w:sz w:val="24"/>
                <w:szCs w:val="24"/>
              </w:rPr>
              <w:t>0.50%</w:t>
            </w:r>
          </w:p>
        </w:tc>
        <w:tc>
          <w:tcPr>
            <w:tcW w:w="2410" w:type="dxa"/>
          </w:tcPr>
          <w:p w14:paraId="250B1B91">
            <w:pPr>
              <w:jc w:val="center"/>
            </w:pPr>
            <w:r>
              <w:rPr>
                <w:rFonts w:asciiTheme="minorEastAsia" w:hAnsiTheme="minorEastAsia" w:eastAsiaTheme="minorEastAsia"/>
                <w:sz w:val="24"/>
                <w:szCs w:val="24"/>
              </w:rPr>
              <w:t>0.50%</w:t>
            </w:r>
          </w:p>
        </w:tc>
      </w:tr>
      <w:tr w14:paraId="130C7F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3121CAEE">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693" w:type="dxa"/>
            <w:vAlign w:val="center"/>
          </w:tcPr>
          <w:p w14:paraId="3C3D2204">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陈衍斌</w:t>
            </w:r>
          </w:p>
        </w:tc>
        <w:tc>
          <w:tcPr>
            <w:tcW w:w="2551" w:type="dxa"/>
          </w:tcPr>
          <w:p w14:paraId="467DE60A">
            <w:pPr>
              <w:jc w:val="center"/>
            </w:pPr>
            <w:r>
              <w:rPr>
                <w:rFonts w:asciiTheme="minorEastAsia" w:hAnsiTheme="minorEastAsia" w:eastAsiaTheme="minorEastAsia"/>
                <w:sz w:val="24"/>
                <w:szCs w:val="24"/>
              </w:rPr>
              <w:t>0.50%</w:t>
            </w:r>
          </w:p>
        </w:tc>
        <w:tc>
          <w:tcPr>
            <w:tcW w:w="2410" w:type="dxa"/>
          </w:tcPr>
          <w:p w14:paraId="1C7BDC38">
            <w:pPr>
              <w:jc w:val="center"/>
            </w:pPr>
            <w:r>
              <w:rPr>
                <w:rFonts w:asciiTheme="minorEastAsia" w:hAnsiTheme="minorEastAsia" w:eastAsiaTheme="minorEastAsia"/>
                <w:sz w:val="24"/>
                <w:szCs w:val="24"/>
              </w:rPr>
              <w:t>0.50%</w:t>
            </w:r>
          </w:p>
        </w:tc>
      </w:tr>
      <w:tr w14:paraId="3AE1C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330BBD35">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w:t>
            </w:r>
          </w:p>
        </w:tc>
        <w:tc>
          <w:tcPr>
            <w:tcW w:w="2693" w:type="dxa"/>
            <w:vAlign w:val="center"/>
          </w:tcPr>
          <w:p w14:paraId="2FEAF19E">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刘峰</w:t>
            </w:r>
          </w:p>
        </w:tc>
        <w:tc>
          <w:tcPr>
            <w:tcW w:w="2551" w:type="dxa"/>
            <w:vAlign w:val="center"/>
          </w:tcPr>
          <w:p w14:paraId="5D10884C">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0.50%</w:t>
            </w:r>
          </w:p>
        </w:tc>
        <w:tc>
          <w:tcPr>
            <w:tcW w:w="2410" w:type="dxa"/>
            <w:vAlign w:val="center"/>
          </w:tcPr>
          <w:p w14:paraId="12D7CC1A">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w:t>
            </w:r>
          </w:p>
        </w:tc>
      </w:tr>
      <w:tr w14:paraId="37AF18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4AE416F0">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p>
        </w:tc>
        <w:tc>
          <w:tcPr>
            <w:tcW w:w="2693" w:type="dxa"/>
            <w:vAlign w:val="center"/>
          </w:tcPr>
          <w:p w14:paraId="78D330EE">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史东鹏</w:t>
            </w:r>
          </w:p>
        </w:tc>
        <w:tc>
          <w:tcPr>
            <w:tcW w:w="2551" w:type="dxa"/>
            <w:vAlign w:val="center"/>
          </w:tcPr>
          <w:p w14:paraId="0BEBA48B">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w:t>
            </w:r>
          </w:p>
        </w:tc>
        <w:tc>
          <w:tcPr>
            <w:tcW w:w="2410" w:type="dxa"/>
            <w:vAlign w:val="center"/>
          </w:tcPr>
          <w:p w14:paraId="734D93AD">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b/>
                <w:sz w:val="24"/>
                <w:szCs w:val="24"/>
              </w:rPr>
            </w:pPr>
            <w:r>
              <w:rPr>
                <w:rFonts w:asciiTheme="minorEastAsia" w:hAnsiTheme="minorEastAsia" w:eastAsiaTheme="minorEastAsia"/>
                <w:b/>
                <w:sz w:val="24"/>
                <w:szCs w:val="24"/>
              </w:rPr>
              <w:t>0.50%</w:t>
            </w:r>
          </w:p>
        </w:tc>
      </w:tr>
      <w:tr w14:paraId="68770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1" w:type="dxa"/>
            <w:vAlign w:val="center"/>
          </w:tcPr>
          <w:p w14:paraId="7F2C5C9E">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2693" w:type="dxa"/>
            <w:vAlign w:val="center"/>
          </w:tcPr>
          <w:p w14:paraId="73230F42">
            <w:pPr>
              <w:pStyle w:val="18"/>
              <w:pBdr>
                <w:top w:val="none" w:color="auto" w:sz="0" w:space="0"/>
                <w:left w:val="none" w:color="auto" w:sz="0" w:space="0"/>
                <w:bottom w:val="none" w:color="auto" w:sz="0" w:space="0"/>
                <w:right w:val="none" w:color="auto" w:sz="0" w:space="0"/>
                <w:between w:val="none" w:color="auto" w:sz="0" w:space="0"/>
              </w:pBd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2551" w:type="dxa"/>
            <w:vAlign w:val="center"/>
          </w:tcPr>
          <w:p w14:paraId="33ECA1D8">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00.00%</w:t>
            </w:r>
          </w:p>
        </w:tc>
        <w:tc>
          <w:tcPr>
            <w:tcW w:w="2410" w:type="dxa"/>
            <w:vAlign w:val="center"/>
          </w:tcPr>
          <w:p w14:paraId="75FAD5CD">
            <w:pPr>
              <w:pStyle w:val="18"/>
              <w:pBdr>
                <w:top w:val="none" w:color="auto" w:sz="0" w:space="0"/>
                <w:left w:val="none" w:color="auto" w:sz="0" w:space="0"/>
                <w:bottom w:val="none" w:color="auto" w:sz="0" w:space="0"/>
                <w:right w:val="none" w:color="auto" w:sz="0" w:space="0"/>
                <w:between w:val="none" w:color="auto" w:sz="0" w:space="0"/>
              </w:pBdr>
              <w:jc w:val="center"/>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00.00%</w:t>
            </w:r>
          </w:p>
        </w:tc>
      </w:tr>
    </w:tbl>
    <w:p w14:paraId="286052A2">
      <w:pPr>
        <w:pStyle w:val="18"/>
        <w:pBdr>
          <w:bottom w:val="none" w:color="000000" w:sz="0" w:space="5"/>
        </w:pBdr>
        <w:spacing w:before="120" w:beforeLines="50" w:after="120" w:afterLines="50" w:line="360" w:lineRule="auto"/>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注：变更后持股比例以工商部门核准登记为准。</w:t>
      </w:r>
    </w:p>
    <w:p w14:paraId="3F7813C4">
      <w:pPr>
        <w:pStyle w:val="18"/>
        <w:pBdr>
          <w:bottom w:val="none" w:color="000000" w:sz="0" w:space="5"/>
        </w:pBdr>
        <w:spacing w:before="120" w:beforeLines="50" w:after="120" w:afterLines="50" w:line="360" w:lineRule="auto"/>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（三）主要财务数据</w:t>
      </w:r>
    </w:p>
    <w:p w14:paraId="6F0DEDD4">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截至2024年12月31日，资产总额2,053.18万元，负债总额1,380.40万元，净资产672.79万元，2024年度实现营业收入978.34万元，净利润1.76万元。（上述数据经审计）</w:t>
      </w:r>
    </w:p>
    <w:p w14:paraId="12B2318D">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截至2025年3月31日，资产总额1,977.25万元，负债总额1,313.84万元，净资产663.41万元，2025年1-3月实现营业收入69.91万元，净利润-9.38万元。（上述数据未经审计）</w:t>
      </w:r>
    </w:p>
    <w:p w14:paraId="0EEEC713">
      <w:pPr>
        <w:pStyle w:val="18"/>
        <w:pBdr>
          <w:bottom w:val="none" w:color="000000" w:sz="0" w:space="5"/>
        </w:pBdr>
        <w:spacing w:after="120" w:afterLines="50" w:line="360" w:lineRule="auto"/>
        <w:ind w:firstLine="482" w:firstLineChars="200"/>
        <w:outlineLvl w:val="0"/>
        <w:rPr>
          <w:rFonts w:asciiTheme="minorEastAsia" w:hAnsiTheme="minorEastAsia" w:eastAsiaTheme="minorEastAsia"/>
          <w:sz w:val="24"/>
          <w:szCs w:val="24"/>
        </w:rPr>
      </w:pPr>
      <w:r>
        <w:rPr>
          <w:rFonts w:hint="eastAsia" w:asciiTheme="minorEastAsia" w:hAnsiTheme="minorEastAsia" w:eastAsiaTheme="minorEastAsia"/>
          <w:b/>
          <w:sz w:val="24"/>
          <w:szCs w:val="24"/>
        </w:rPr>
        <w:t>五、交易标的定价情况</w:t>
      </w:r>
    </w:p>
    <w:p w14:paraId="4FD4AEE7">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本次交易的价格由交易各方协商确定，定价公允、合理，定价方式符合《中华人民共和国公司法》《中华人民共和国证券法》等相关法律法规及规范性文件的要求，不存在损害公司及中小股东利益的情形。</w:t>
      </w:r>
    </w:p>
    <w:p w14:paraId="57AC35C4">
      <w:pPr>
        <w:pStyle w:val="18"/>
        <w:pBdr>
          <w:bottom w:val="none" w:color="000000" w:sz="0" w:space="5"/>
        </w:pBdr>
        <w:spacing w:after="120" w:afterLines="50" w:line="360" w:lineRule="auto"/>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六、交易的目的及对上市公司的影响</w:t>
      </w:r>
    </w:p>
    <w:p w14:paraId="2F944D39">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公司本次交易是基于对公司长期发展战略和实际经营情况的整体考虑。交易完成后不会导致公司合并报表范围发生变化，亦不会对公司财务状况和经营成果产生不利影响，不存在损害公司和全体股东，特别是中小股东利益的情形。</w:t>
      </w:r>
    </w:p>
    <w:p w14:paraId="20931EAE">
      <w:pPr>
        <w:pStyle w:val="18"/>
        <w:pBdr>
          <w:bottom w:val="none" w:color="000000" w:sz="0" w:space="5"/>
        </w:pBdr>
        <w:spacing w:after="120" w:afterLines="50" w:line="360" w:lineRule="auto"/>
        <w:ind w:firstLine="482" w:firstLineChars="200"/>
        <w:outlineLvl w:val="0"/>
        <w:rPr>
          <w:rFonts w:asciiTheme="minorEastAsia" w:hAnsiTheme="minorEastAsia" w:eastAsiaTheme="minorEastAsia"/>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、审议程序</w:t>
      </w:r>
    </w:p>
    <w:p w14:paraId="6AADD4A5">
      <w:pPr>
        <w:pStyle w:val="18"/>
        <w:pBdr>
          <w:bottom w:val="none" w:color="000000" w:sz="0" w:space="5"/>
        </w:pBdr>
        <w:spacing w:after="120" w:afterLines="50" w:line="360" w:lineRule="auto"/>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（一）独立董事专门会议审议情况</w:t>
      </w:r>
    </w:p>
    <w:p w14:paraId="5CAE10CA">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7</w:t>
      </w:r>
      <w:r>
        <w:rPr>
          <w:rFonts w:hint="eastAsia" w:asciiTheme="minorEastAsia" w:hAnsiTheme="minorEastAsia" w:eastAsiaTheme="minorEastAsia"/>
          <w:sz w:val="24"/>
          <w:szCs w:val="24"/>
        </w:rPr>
        <w:t>月</w:t>
      </w:r>
      <w:r>
        <w:rPr>
          <w:rFonts w:asciiTheme="minorEastAsia" w:hAnsiTheme="minorEastAsia" w:eastAsiaTheme="minorEastAsia"/>
          <w:sz w:val="24"/>
          <w:szCs w:val="24"/>
        </w:rPr>
        <w:t>8</w:t>
      </w:r>
      <w:r>
        <w:rPr>
          <w:rFonts w:hint="eastAsia" w:asciiTheme="minorEastAsia" w:hAnsiTheme="minorEastAsia" w:eastAsiaTheme="minorEastAsia"/>
          <w:sz w:val="24"/>
          <w:szCs w:val="24"/>
        </w:rPr>
        <w:t>日，公司召开第五届董事会独立董事专门会议第六次会议，经全体独立董事一致同意，审议通过了《关于拟放弃优先受让控股子公司股权暨关联交易的议案》。</w:t>
      </w:r>
    </w:p>
    <w:p w14:paraId="4C542017">
      <w:pPr>
        <w:tabs>
          <w:tab w:val="left" w:pos="630"/>
        </w:tabs>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经认真审阅相关资料，基于独立、客观判断的原则，认为：本次关联交易的发生遵循了公平、公正、合理以及诚实守信等原则，关联交易的交易定价公允、合理。不会对公司的财务状况和未来的经营成果造成重大不利影响，不会对上市公司独立性构成影响，不存在损害公司及全体股东利益的情况，公司主要业务不会因此关联交易而对关联方形成重大依赖。本次关联交易符合中国证监会和上海证券交易所的有关规定。我们一致同意将该议案提交董事会审议。</w:t>
      </w:r>
    </w:p>
    <w:p w14:paraId="2C69696D">
      <w:pPr>
        <w:pStyle w:val="18"/>
        <w:pBdr>
          <w:bottom w:val="none" w:color="000000" w:sz="0" w:space="5"/>
        </w:pBdr>
        <w:spacing w:after="120" w:afterLines="50" w:line="360" w:lineRule="auto"/>
        <w:ind w:firstLine="482"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（二）董事会审议情况</w:t>
      </w:r>
    </w:p>
    <w:p w14:paraId="2A0987C2">
      <w:pPr>
        <w:pStyle w:val="18"/>
        <w:pBdr>
          <w:bottom w:val="none" w:color="000000" w:sz="0" w:space="5"/>
        </w:pBdr>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asciiTheme="minorEastAsia" w:hAnsiTheme="minorEastAsia" w:eastAsiaTheme="minorEastAsia"/>
          <w:sz w:val="24"/>
          <w:szCs w:val="24"/>
        </w:rPr>
        <w:t>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7</w:t>
      </w:r>
      <w:r>
        <w:rPr>
          <w:rFonts w:hint="eastAsia" w:asciiTheme="minorEastAsia" w:hAnsiTheme="minorEastAsia" w:eastAsiaTheme="minorEastAsia"/>
          <w:sz w:val="24"/>
          <w:szCs w:val="24"/>
        </w:rPr>
        <w:t>月</w:t>
      </w:r>
      <w:r>
        <w:rPr>
          <w:rFonts w:asciiTheme="minorEastAsia" w:hAnsiTheme="minorEastAsia" w:eastAsiaTheme="minorEastAsia"/>
          <w:sz w:val="24"/>
          <w:szCs w:val="24"/>
        </w:rPr>
        <w:t>8</w:t>
      </w:r>
      <w:r>
        <w:rPr>
          <w:rFonts w:hint="eastAsia" w:asciiTheme="minorEastAsia" w:hAnsiTheme="minorEastAsia" w:eastAsiaTheme="minorEastAsia"/>
          <w:sz w:val="24"/>
          <w:szCs w:val="24"/>
        </w:rPr>
        <w:t>日，公司召开第五届董事会第二十七次会议，审议通过了《关于拟放弃优先受让控股子公司股权暨关联交易的议案》。具体内容详见公司同日披露于上海证券交易所网站（www.sse.com.cn）《第五届董事会第二十七次会议决议公告》（公告编号：202</w:t>
      </w:r>
      <w:r>
        <w:rPr>
          <w:rFonts w:asciiTheme="minorEastAsia" w:hAnsiTheme="minorEastAsia" w:eastAsiaTheme="minorEastAsia"/>
          <w:sz w:val="24"/>
          <w:szCs w:val="24"/>
        </w:rPr>
        <w:t>5</w:t>
      </w:r>
      <w:r>
        <w:rPr>
          <w:rFonts w:hint="eastAsia" w:asciiTheme="minorEastAsia" w:hAnsiTheme="minorEastAsia" w:eastAsiaTheme="minorEastAsia"/>
          <w:sz w:val="24"/>
          <w:szCs w:val="24"/>
        </w:rPr>
        <w:t>-1</w:t>
      </w:r>
      <w:r>
        <w:rPr>
          <w:rFonts w:asciiTheme="minorEastAsia" w:hAnsiTheme="minorEastAsia" w:eastAsiaTheme="minorEastAsia"/>
          <w:sz w:val="24"/>
          <w:szCs w:val="24"/>
        </w:rPr>
        <w:t>30</w:t>
      </w:r>
      <w:r>
        <w:rPr>
          <w:rFonts w:hint="eastAsia" w:asciiTheme="minorEastAsia" w:hAnsiTheme="minorEastAsia" w:eastAsiaTheme="minorEastAsia"/>
          <w:sz w:val="24"/>
          <w:szCs w:val="24"/>
        </w:rPr>
        <w:t>）。该事项无需提交股东会审议批准。</w:t>
      </w:r>
    </w:p>
    <w:p w14:paraId="61D173F3">
      <w:pPr>
        <w:pBdr>
          <w:bottom w:val="none" w:color="000000" w:sz="0" w:space="5"/>
        </w:pBdr>
        <w:tabs>
          <w:tab w:val="left" w:pos="630"/>
        </w:tabs>
        <w:adjustRightInd w:val="0"/>
        <w:snapToGrid w:val="0"/>
        <w:spacing w:after="120" w:afterLines="50" w:line="360" w:lineRule="auto"/>
        <w:ind w:left="482"/>
        <w:outlineLvl w:val="0"/>
        <w:rPr>
          <w:rFonts w:ascii="Helvetica" w:hAnsi="Helvetica" w:cs="Helvetica"/>
          <w:b/>
          <w:bCs/>
          <w:sz w:val="24"/>
          <w:szCs w:val="24"/>
          <w:shd w:val="clear" w:color="auto" w:fill="FFFFFF"/>
        </w:rPr>
      </w:pPr>
      <w:r>
        <w:rPr>
          <w:rFonts w:hint="eastAsia" w:ascii="Helvetica" w:hAnsi="Helvetica" w:cs="Helvetica"/>
          <w:b/>
          <w:bCs/>
          <w:sz w:val="24"/>
          <w:szCs w:val="24"/>
          <w:shd w:val="clear" w:color="auto" w:fill="FFFFFF"/>
        </w:rPr>
        <w:t>八、</w:t>
      </w:r>
      <w:r>
        <w:rPr>
          <w:rFonts w:ascii="Helvetica" w:hAnsi="Helvetica" w:cs="Helvetica"/>
          <w:b/>
          <w:bCs/>
          <w:sz w:val="24"/>
          <w:szCs w:val="24"/>
          <w:shd w:val="clear" w:color="auto" w:fill="FFFFFF"/>
        </w:rPr>
        <w:t>需要特别说明的历史关联交易（日常关联交易除外）情况</w:t>
      </w:r>
    </w:p>
    <w:p w14:paraId="620C9EE7">
      <w:pPr>
        <w:pStyle w:val="18"/>
        <w:spacing w:after="120" w:afterLines="50" w:line="360" w:lineRule="auto"/>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过去12个月公司与王西芳进行</w:t>
      </w:r>
      <w:r>
        <w:rPr>
          <w:rFonts w:asciiTheme="minorEastAsia" w:hAnsiTheme="minorEastAsia" w:eastAsiaTheme="minorEastAsia"/>
          <w:sz w:val="24"/>
          <w:szCs w:val="24"/>
        </w:rPr>
        <w:t>1</w:t>
      </w:r>
      <w:r>
        <w:rPr>
          <w:rFonts w:hint="eastAsia" w:asciiTheme="minorEastAsia" w:hAnsiTheme="minorEastAsia" w:eastAsiaTheme="minorEastAsia"/>
          <w:sz w:val="24"/>
          <w:szCs w:val="24"/>
        </w:rPr>
        <w:t>次关联交易，交易金额为</w:t>
      </w:r>
      <w:r>
        <w:rPr>
          <w:rFonts w:asciiTheme="minorEastAsia" w:hAnsiTheme="minorEastAsia" w:eastAsiaTheme="minorEastAsia"/>
          <w:sz w:val="24"/>
          <w:szCs w:val="24"/>
        </w:rPr>
        <w:t>2,595</w:t>
      </w:r>
      <w:r>
        <w:rPr>
          <w:rFonts w:hint="eastAsia" w:asciiTheme="minorEastAsia" w:hAnsiTheme="minorEastAsia" w:eastAsiaTheme="minorEastAsia"/>
          <w:sz w:val="24"/>
          <w:szCs w:val="24"/>
        </w:rPr>
        <w:t>万元。</w:t>
      </w:r>
    </w:p>
    <w:p w14:paraId="67363C1A">
      <w:pPr>
        <w:pStyle w:val="18"/>
        <w:pBdr>
          <w:bottom w:val="none" w:color="000000" w:sz="0" w:space="5"/>
        </w:pBdr>
        <w:spacing w:line="360" w:lineRule="auto"/>
        <w:ind w:firstLine="500" w:firstLineChars="200"/>
        <w:rPr>
          <w:rFonts w:cs="Arial" w:asciiTheme="minorEastAsia" w:hAnsiTheme="minorEastAsia" w:eastAsiaTheme="minorEastAsia"/>
          <w:sz w:val="25"/>
          <w:szCs w:val="25"/>
          <w:shd w:val="clear" w:color="auto" w:fill="FFFFFF"/>
        </w:rPr>
      </w:pPr>
      <w:r>
        <w:rPr>
          <w:rFonts w:hint="eastAsia" w:cs="Arial" w:asciiTheme="minorEastAsia" w:hAnsiTheme="minorEastAsia" w:eastAsiaTheme="minorEastAsia"/>
          <w:sz w:val="25"/>
          <w:szCs w:val="25"/>
          <w:shd w:val="clear" w:color="auto" w:fill="FFFFFF"/>
        </w:rPr>
        <w:t>特此公告。</w:t>
      </w:r>
    </w:p>
    <w:p w14:paraId="2BDEA0A7">
      <w:pPr>
        <w:pStyle w:val="18"/>
        <w:pBdr>
          <w:bottom w:val="none" w:color="000000" w:sz="0" w:space="5"/>
        </w:pBdr>
        <w:spacing w:line="360" w:lineRule="auto"/>
        <w:rPr>
          <w:rFonts w:cs="Arial" w:asciiTheme="minorEastAsia" w:hAnsiTheme="minorEastAsia" w:eastAsiaTheme="minorEastAsia"/>
          <w:sz w:val="25"/>
          <w:szCs w:val="25"/>
          <w:shd w:val="clear" w:color="auto" w:fill="FFFFFF"/>
        </w:rPr>
      </w:pPr>
    </w:p>
    <w:p w14:paraId="33A9DF50">
      <w:pPr>
        <w:autoSpaceDE w:val="0"/>
        <w:autoSpaceDN w:val="0"/>
        <w:spacing w:line="360" w:lineRule="auto"/>
        <w:ind w:firstLine="480" w:firstLineChars="200"/>
        <w:jc w:val="right"/>
        <w:rPr>
          <w:rFonts w:cs="KAPJJC+ËÎÌå" w:asciiTheme="minorEastAsia" w:hAnsiTheme="minorEastAsia" w:eastAsiaTheme="minorEastAsia"/>
          <w:sz w:val="24"/>
        </w:rPr>
      </w:pPr>
    </w:p>
    <w:p w14:paraId="1BECD059">
      <w:pPr>
        <w:autoSpaceDE w:val="0"/>
        <w:autoSpaceDN w:val="0"/>
        <w:spacing w:line="360" w:lineRule="auto"/>
        <w:ind w:firstLine="480" w:firstLineChars="200"/>
        <w:jc w:val="right"/>
        <w:rPr>
          <w:rFonts w:cs="KAPJJC+ËÎÌå" w:asciiTheme="minorEastAsia" w:hAnsiTheme="minorEastAsia" w:eastAsiaTheme="minorEastAsia"/>
          <w:sz w:val="24"/>
        </w:rPr>
      </w:pPr>
      <w:r>
        <w:rPr>
          <w:rFonts w:hint="eastAsia" w:cs="KAPJJC+ËÎÌå" w:asciiTheme="minorEastAsia" w:hAnsiTheme="minorEastAsia" w:eastAsiaTheme="minorEastAsia"/>
          <w:sz w:val="24"/>
        </w:rPr>
        <w:t>山东步长制药股份有限公司董事会</w:t>
      </w:r>
    </w:p>
    <w:p w14:paraId="43767193">
      <w:pPr>
        <w:wordWrap w:val="0"/>
        <w:autoSpaceDE w:val="0"/>
        <w:autoSpaceDN w:val="0"/>
        <w:spacing w:line="360" w:lineRule="auto"/>
        <w:ind w:right="1200" w:firstLine="480" w:firstLineChars="200"/>
        <w:jc w:val="right"/>
        <w:rPr>
          <w:rFonts w:cs="KAPJJC+ËÎÌå" w:asciiTheme="minorEastAsia" w:hAnsiTheme="minorEastAsia" w:eastAsiaTheme="minorEastAsia"/>
          <w:color w:val="000000"/>
          <w:sz w:val="24"/>
        </w:rPr>
      </w:pPr>
      <w:r>
        <w:rPr>
          <w:rFonts w:hint="eastAsia" w:asciiTheme="minorEastAsia" w:hAnsiTheme="minorEastAsia" w:eastAsiaTheme="minorEastAsia"/>
          <w:sz w:val="24"/>
          <w:szCs w:val="24"/>
        </w:rPr>
        <w:t>20</w:t>
      </w:r>
      <w:r>
        <w:rPr>
          <w:rFonts w:asciiTheme="minorEastAsia" w:hAnsiTheme="minorEastAsia" w:eastAsiaTheme="minorEastAsia"/>
          <w:sz w:val="24"/>
          <w:szCs w:val="24"/>
        </w:rPr>
        <w:t>25</w:t>
      </w:r>
      <w:r>
        <w:rPr>
          <w:rFonts w:hint="eastAsia" w:asciiTheme="minorEastAsia" w:hAnsiTheme="minorEastAsia" w:eastAsiaTheme="minorEastAsia"/>
          <w:sz w:val="24"/>
          <w:szCs w:val="24"/>
        </w:rPr>
        <w:t>年</w:t>
      </w:r>
      <w:r>
        <w:rPr>
          <w:rFonts w:asciiTheme="minorEastAsia" w:hAnsiTheme="minorEastAsia" w:eastAsiaTheme="minorEastAsia"/>
          <w:sz w:val="24"/>
          <w:szCs w:val="24"/>
        </w:rPr>
        <w:t>7</w:t>
      </w:r>
      <w:r>
        <w:rPr>
          <w:rFonts w:hint="eastAsia" w:asciiTheme="minorEastAsia" w:hAnsiTheme="minorEastAsia" w:eastAsiaTheme="minorEastAsia"/>
          <w:sz w:val="24"/>
          <w:szCs w:val="24"/>
        </w:rPr>
        <w:t>月</w:t>
      </w:r>
      <w:r>
        <w:rPr>
          <w:rFonts w:asciiTheme="minorEastAsia" w:hAnsiTheme="minorEastAsia" w:eastAsiaTheme="minorEastAsia"/>
          <w:sz w:val="24"/>
          <w:szCs w:val="24"/>
        </w:rPr>
        <w:t>9</w:t>
      </w:r>
      <w:r>
        <w:rPr>
          <w:rFonts w:hint="eastAsia" w:asciiTheme="minorEastAsia" w:hAnsiTheme="minorEastAsia" w:eastAsiaTheme="minorEastAsia"/>
          <w:sz w:val="24"/>
          <w:szCs w:val="24"/>
        </w:rPr>
        <w:t>日</w:t>
      </w:r>
    </w:p>
    <w:sectPr>
      <w:endnotePr>
        <w:numFmt w:val="decimal"/>
      </w:endnotePr>
      <w:pgSz w:w="11906" w:h="16838"/>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KAPJJC+ËÎÌå">
    <w:altName w:val="Segoe Print"/>
    <w:panose1 w:val="00000000000000000000"/>
    <w:charset w:val="00"/>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4751F"/>
    <w:multiLevelType w:val="multilevel"/>
    <w:tmpl w:val="2494751F"/>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ZjQ0YzkxMzM0NzJmNmEyZTU2NDA1MTcwYmE2MDYifQ=="/>
  </w:docVars>
  <w:rsids>
    <w:rsidRoot w:val="00AC7A56"/>
    <w:rsid w:val="000000A3"/>
    <w:rsid w:val="00002F0A"/>
    <w:rsid w:val="0000667D"/>
    <w:rsid w:val="000111A7"/>
    <w:rsid w:val="000126A2"/>
    <w:rsid w:val="00016E54"/>
    <w:rsid w:val="00017012"/>
    <w:rsid w:val="000246EF"/>
    <w:rsid w:val="000251E1"/>
    <w:rsid w:val="00025AB6"/>
    <w:rsid w:val="00026554"/>
    <w:rsid w:val="00037A20"/>
    <w:rsid w:val="00037F63"/>
    <w:rsid w:val="000429C0"/>
    <w:rsid w:val="00044DF5"/>
    <w:rsid w:val="00053292"/>
    <w:rsid w:val="00056594"/>
    <w:rsid w:val="00060334"/>
    <w:rsid w:val="000620C6"/>
    <w:rsid w:val="00071B0E"/>
    <w:rsid w:val="00071EBD"/>
    <w:rsid w:val="00073478"/>
    <w:rsid w:val="00074EA5"/>
    <w:rsid w:val="00075036"/>
    <w:rsid w:val="00076939"/>
    <w:rsid w:val="00080539"/>
    <w:rsid w:val="000855A6"/>
    <w:rsid w:val="000862A8"/>
    <w:rsid w:val="0008654E"/>
    <w:rsid w:val="0009464B"/>
    <w:rsid w:val="000A1DC0"/>
    <w:rsid w:val="000A7B94"/>
    <w:rsid w:val="000B0219"/>
    <w:rsid w:val="000B1E95"/>
    <w:rsid w:val="000B2FDE"/>
    <w:rsid w:val="000B61CE"/>
    <w:rsid w:val="000C7ACD"/>
    <w:rsid w:val="000C7C47"/>
    <w:rsid w:val="000D3AD7"/>
    <w:rsid w:val="000D4225"/>
    <w:rsid w:val="000E3AEA"/>
    <w:rsid w:val="000E6DA9"/>
    <w:rsid w:val="000F1416"/>
    <w:rsid w:val="000F1C51"/>
    <w:rsid w:val="000F7AF9"/>
    <w:rsid w:val="001056A9"/>
    <w:rsid w:val="00110672"/>
    <w:rsid w:val="00111F53"/>
    <w:rsid w:val="00116E4F"/>
    <w:rsid w:val="00131BE7"/>
    <w:rsid w:val="00143D65"/>
    <w:rsid w:val="00147716"/>
    <w:rsid w:val="00155A06"/>
    <w:rsid w:val="001564CF"/>
    <w:rsid w:val="00161134"/>
    <w:rsid w:val="00162C40"/>
    <w:rsid w:val="0017115D"/>
    <w:rsid w:val="00174D44"/>
    <w:rsid w:val="00174D90"/>
    <w:rsid w:val="00176150"/>
    <w:rsid w:val="001820A3"/>
    <w:rsid w:val="001838B9"/>
    <w:rsid w:val="00185581"/>
    <w:rsid w:val="001909BD"/>
    <w:rsid w:val="00190F35"/>
    <w:rsid w:val="00194206"/>
    <w:rsid w:val="0019596C"/>
    <w:rsid w:val="0019622C"/>
    <w:rsid w:val="00197B2C"/>
    <w:rsid w:val="001A1938"/>
    <w:rsid w:val="001A3667"/>
    <w:rsid w:val="001B60A2"/>
    <w:rsid w:val="001B74BD"/>
    <w:rsid w:val="001C1CD8"/>
    <w:rsid w:val="001C210D"/>
    <w:rsid w:val="001C2FBC"/>
    <w:rsid w:val="001C3967"/>
    <w:rsid w:val="001D3E8A"/>
    <w:rsid w:val="001D4C12"/>
    <w:rsid w:val="001D74B9"/>
    <w:rsid w:val="001E46C0"/>
    <w:rsid w:val="001E55AA"/>
    <w:rsid w:val="001F0CEF"/>
    <w:rsid w:val="001F1337"/>
    <w:rsid w:val="0020049D"/>
    <w:rsid w:val="0021448C"/>
    <w:rsid w:val="00220B8F"/>
    <w:rsid w:val="002213E9"/>
    <w:rsid w:val="0022145C"/>
    <w:rsid w:val="00222AE7"/>
    <w:rsid w:val="00224FD2"/>
    <w:rsid w:val="002257A3"/>
    <w:rsid w:val="00233E3F"/>
    <w:rsid w:val="002359DF"/>
    <w:rsid w:val="00237F96"/>
    <w:rsid w:val="00241C2B"/>
    <w:rsid w:val="002453D6"/>
    <w:rsid w:val="00247C9C"/>
    <w:rsid w:val="00253D50"/>
    <w:rsid w:val="002551EA"/>
    <w:rsid w:val="002554C3"/>
    <w:rsid w:val="00261506"/>
    <w:rsid w:val="00263CBC"/>
    <w:rsid w:val="00265CCB"/>
    <w:rsid w:val="0026681E"/>
    <w:rsid w:val="00267D78"/>
    <w:rsid w:val="0027022A"/>
    <w:rsid w:val="002719B9"/>
    <w:rsid w:val="00271A33"/>
    <w:rsid w:val="00272ED8"/>
    <w:rsid w:val="00273043"/>
    <w:rsid w:val="00286600"/>
    <w:rsid w:val="002911DE"/>
    <w:rsid w:val="0029205D"/>
    <w:rsid w:val="002B2F18"/>
    <w:rsid w:val="002B3B5C"/>
    <w:rsid w:val="002B3E1B"/>
    <w:rsid w:val="002C5A80"/>
    <w:rsid w:val="002D01C9"/>
    <w:rsid w:val="002D509B"/>
    <w:rsid w:val="002E0546"/>
    <w:rsid w:val="002E0C18"/>
    <w:rsid w:val="002E6057"/>
    <w:rsid w:val="002E6107"/>
    <w:rsid w:val="002F0535"/>
    <w:rsid w:val="0030016A"/>
    <w:rsid w:val="00300275"/>
    <w:rsid w:val="0030086C"/>
    <w:rsid w:val="003025E1"/>
    <w:rsid w:val="00312CB0"/>
    <w:rsid w:val="00314AA2"/>
    <w:rsid w:val="00317D95"/>
    <w:rsid w:val="003203D1"/>
    <w:rsid w:val="00322736"/>
    <w:rsid w:val="00324DD9"/>
    <w:rsid w:val="00326209"/>
    <w:rsid w:val="003301F3"/>
    <w:rsid w:val="00331831"/>
    <w:rsid w:val="003364F0"/>
    <w:rsid w:val="0033784C"/>
    <w:rsid w:val="00337D10"/>
    <w:rsid w:val="00337E2F"/>
    <w:rsid w:val="00343B59"/>
    <w:rsid w:val="00347138"/>
    <w:rsid w:val="00361E75"/>
    <w:rsid w:val="0037295F"/>
    <w:rsid w:val="00373061"/>
    <w:rsid w:val="00383E17"/>
    <w:rsid w:val="00393091"/>
    <w:rsid w:val="00396F7C"/>
    <w:rsid w:val="003A0455"/>
    <w:rsid w:val="003A3A1F"/>
    <w:rsid w:val="003A500C"/>
    <w:rsid w:val="003A64A1"/>
    <w:rsid w:val="003A7923"/>
    <w:rsid w:val="003B1C28"/>
    <w:rsid w:val="003B691F"/>
    <w:rsid w:val="003C1E6B"/>
    <w:rsid w:val="003C305A"/>
    <w:rsid w:val="003C3D25"/>
    <w:rsid w:val="003C6323"/>
    <w:rsid w:val="003D5115"/>
    <w:rsid w:val="003E03B3"/>
    <w:rsid w:val="003E2513"/>
    <w:rsid w:val="003E3B26"/>
    <w:rsid w:val="003F153C"/>
    <w:rsid w:val="003F2402"/>
    <w:rsid w:val="004021C6"/>
    <w:rsid w:val="00402587"/>
    <w:rsid w:val="004060F6"/>
    <w:rsid w:val="00412631"/>
    <w:rsid w:val="00416911"/>
    <w:rsid w:val="00423C32"/>
    <w:rsid w:val="00424B73"/>
    <w:rsid w:val="00430144"/>
    <w:rsid w:val="004326AA"/>
    <w:rsid w:val="00447D53"/>
    <w:rsid w:val="00454B4C"/>
    <w:rsid w:val="00460085"/>
    <w:rsid w:val="00462B57"/>
    <w:rsid w:val="004633E5"/>
    <w:rsid w:val="004635A3"/>
    <w:rsid w:val="004639D9"/>
    <w:rsid w:val="00466414"/>
    <w:rsid w:val="00471525"/>
    <w:rsid w:val="004719C3"/>
    <w:rsid w:val="0047340C"/>
    <w:rsid w:val="0047585D"/>
    <w:rsid w:val="004770A2"/>
    <w:rsid w:val="00484CF4"/>
    <w:rsid w:val="00490120"/>
    <w:rsid w:val="0049014D"/>
    <w:rsid w:val="00492A8C"/>
    <w:rsid w:val="004A3A5C"/>
    <w:rsid w:val="004A69D8"/>
    <w:rsid w:val="004B4AFD"/>
    <w:rsid w:val="004B6C24"/>
    <w:rsid w:val="004B7D82"/>
    <w:rsid w:val="004C09F9"/>
    <w:rsid w:val="004C0FB3"/>
    <w:rsid w:val="004C3534"/>
    <w:rsid w:val="004C6320"/>
    <w:rsid w:val="004D13DA"/>
    <w:rsid w:val="004D2313"/>
    <w:rsid w:val="004D2D7B"/>
    <w:rsid w:val="004D4E05"/>
    <w:rsid w:val="004D524C"/>
    <w:rsid w:val="004D69C0"/>
    <w:rsid w:val="004E50FA"/>
    <w:rsid w:val="004E66AB"/>
    <w:rsid w:val="004E74FC"/>
    <w:rsid w:val="004F292F"/>
    <w:rsid w:val="00503065"/>
    <w:rsid w:val="005032AE"/>
    <w:rsid w:val="00503765"/>
    <w:rsid w:val="00503BD3"/>
    <w:rsid w:val="00505237"/>
    <w:rsid w:val="005059F4"/>
    <w:rsid w:val="00506C52"/>
    <w:rsid w:val="00512092"/>
    <w:rsid w:val="00517587"/>
    <w:rsid w:val="00524ADF"/>
    <w:rsid w:val="00526700"/>
    <w:rsid w:val="00530106"/>
    <w:rsid w:val="0053036C"/>
    <w:rsid w:val="00532DEA"/>
    <w:rsid w:val="0054042F"/>
    <w:rsid w:val="005429E8"/>
    <w:rsid w:val="00542C45"/>
    <w:rsid w:val="0054413D"/>
    <w:rsid w:val="005520FE"/>
    <w:rsid w:val="00552679"/>
    <w:rsid w:val="00552AF6"/>
    <w:rsid w:val="00553C33"/>
    <w:rsid w:val="00560217"/>
    <w:rsid w:val="00561027"/>
    <w:rsid w:val="00563A40"/>
    <w:rsid w:val="0056674A"/>
    <w:rsid w:val="00567F25"/>
    <w:rsid w:val="00570FEA"/>
    <w:rsid w:val="00572090"/>
    <w:rsid w:val="005830E7"/>
    <w:rsid w:val="0058639F"/>
    <w:rsid w:val="00587138"/>
    <w:rsid w:val="00592996"/>
    <w:rsid w:val="00597FCE"/>
    <w:rsid w:val="005A3358"/>
    <w:rsid w:val="005A35F0"/>
    <w:rsid w:val="005A4933"/>
    <w:rsid w:val="005A54D6"/>
    <w:rsid w:val="005A5E3E"/>
    <w:rsid w:val="005A6B95"/>
    <w:rsid w:val="005B2023"/>
    <w:rsid w:val="005C75D7"/>
    <w:rsid w:val="005D4CDF"/>
    <w:rsid w:val="005D6403"/>
    <w:rsid w:val="005D7FC7"/>
    <w:rsid w:val="005E3352"/>
    <w:rsid w:val="005E5923"/>
    <w:rsid w:val="005E5DAA"/>
    <w:rsid w:val="005F161A"/>
    <w:rsid w:val="005F2273"/>
    <w:rsid w:val="005F2EF4"/>
    <w:rsid w:val="005F598C"/>
    <w:rsid w:val="005F704B"/>
    <w:rsid w:val="005F778A"/>
    <w:rsid w:val="005F77BB"/>
    <w:rsid w:val="00602BBD"/>
    <w:rsid w:val="00604CA0"/>
    <w:rsid w:val="006053B4"/>
    <w:rsid w:val="006115D4"/>
    <w:rsid w:val="00614CF8"/>
    <w:rsid w:val="00620393"/>
    <w:rsid w:val="00621263"/>
    <w:rsid w:val="00623535"/>
    <w:rsid w:val="006237EB"/>
    <w:rsid w:val="00631DE4"/>
    <w:rsid w:val="00632958"/>
    <w:rsid w:val="00637432"/>
    <w:rsid w:val="00640F11"/>
    <w:rsid w:val="0064267A"/>
    <w:rsid w:val="006470C1"/>
    <w:rsid w:val="00647B33"/>
    <w:rsid w:val="0065181D"/>
    <w:rsid w:val="00656E8B"/>
    <w:rsid w:val="00660C80"/>
    <w:rsid w:val="006647F6"/>
    <w:rsid w:val="0066531B"/>
    <w:rsid w:val="006669D9"/>
    <w:rsid w:val="006678C2"/>
    <w:rsid w:val="00667EEF"/>
    <w:rsid w:val="00673059"/>
    <w:rsid w:val="006735C3"/>
    <w:rsid w:val="00673930"/>
    <w:rsid w:val="00673DE7"/>
    <w:rsid w:val="006751FD"/>
    <w:rsid w:val="006768FD"/>
    <w:rsid w:val="006800B8"/>
    <w:rsid w:val="006818AC"/>
    <w:rsid w:val="006825AF"/>
    <w:rsid w:val="00683789"/>
    <w:rsid w:val="006848B4"/>
    <w:rsid w:val="0068650D"/>
    <w:rsid w:val="0068788B"/>
    <w:rsid w:val="0069674D"/>
    <w:rsid w:val="006A1B7A"/>
    <w:rsid w:val="006A2728"/>
    <w:rsid w:val="006A57A2"/>
    <w:rsid w:val="006B0EAA"/>
    <w:rsid w:val="006B382E"/>
    <w:rsid w:val="006B7C6B"/>
    <w:rsid w:val="006C15E7"/>
    <w:rsid w:val="006C2C9E"/>
    <w:rsid w:val="006C3D9A"/>
    <w:rsid w:val="006C6382"/>
    <w:rsid w:val="006D1C64"/>
    <w:rsid w:val="006D4C63"/>
    <w:rsid w:val="006D50A1"/>
    <w:rsid w:val="006D5C37"/>
    <w:rsid w:val="006D6C71"/>
    <w:rsid w:val="006E1EF6"/>
    <w:rsid w:val="006E20C7"/>
    <w:rsid w:val="006E4E12"/>
    <w:rsid w:val="006F44E8"/>
    <w:rsid w:val="006F56EA"/>
    <w:rsid w:val="006F57D1"/>
    <w:rsid w:val="0070008B"/>
    <w:rsid w:val="00701BAF"/>
    <w:rsid w:val="0070270E"/>
    <w:rsid w:val="00703682"/>
    <w:rsid w:val="00703A4B"/>
    <w:rsid w:val="00703ADF"/>
    <w:rsid w:val="00703F33"/>
    <w:rsid w:val="007049F6"/>
    <w:rsid w:val="00710AD6"/>
    <w:rsid w:val="00716572"/>
    <w:rsid w:val="00721B5B"/>
    <w:rsid w:val="00731DF3"/>
    <w:rsid w:val="00732F1F"/>
    <w:rsid w:val="00736686"/>
    <w:rsid w:val="00745FBB"/>
    <w:rsid w:val="00751B9B"/>
    <w:rsid w:val="00751CE1"/>
    <w:rsid w:val="00751D66"/>
    <w:rsid w:val="0075334D"/>
    <w:rsid w:val="00754496"/>
    <w:rsid w:val="00757691"/>
    <w:rsid w:val="00761C7F"/>
    <w:rsid w:val="00762BD3"/>
    <w:rsid w:val="00766AB0"/>
    <w:rsid w:val="007758D0"/>
    <w:rsid w:val="00776114"/>
    <w:rsid w:val="00777349"/>
    <w:rsid w:val="007823AD"/>
    <w:rsid w:val="0078290D"/>
    <w:rsid w:val="007836AD"/>
    <w:rsid w:val="00785F6C"/>
    <w:rsid w:val="00793C0A"/>
    <w:rsid w:val="00795BCF"/>
    <w:rsid w:val="00796283"/>
    <w:rsid w:val="00797B5E"/>
    <w:rsid w:val="007A4A75"/>
    <w:rsid w:val="007A5239"/>
    <w:rsid w:val="007A5888"/>
    <w:rsid w:val="007B1146"/>
    <w:rsid w:val="007B3665"/>
    <w:rsid w:val="007B616C"/>
    <w:rsid w:val="007B696B"/>
    <w:rsid w:val="007B77A9"/>
    <w:rsid w:val="007C4746"/>
    <w:rsid w:val="007C4F33"/>
    <w:rsid w:val="007C58C3"/>
    <w:rsid w:val="007C5D17"/>
    <w:rsid w:val="007C6DA4"/>
    <w:rsid w:val="007E116F"/>
    <w:rsid w:val="007E295A"/>
    <w:rsid w:val="007E3E21"/>
    <w:rsid w:val="007E5C79"/>
    <w:rsid w:val="007E5D2D"/>
    <w:rsid w:val="007E6F94"/>
    <w:rsid w:val="007F13F0"/>
    <w:rsid w:val="007F1B9A"/>
    <w:rsid w:val="007F4434"/>
    <w:rsid w:val="007F52A2"/>
    <w:rsid w:val="007F5B01"/>
    <w:rsid w:val="007F64E9"/>
    <w:rsid w:val="00804E4C"/>
    <w:rsid w:val="008059BF"/>
    <w:rsid w:val="008059FF"/>
    <w:rsid w:val="00805AE6"/>
    <w:rsid w:val="00807BE3"/>
    <w:rsid w:val="0081007E"/>
    <w:rsid w:val="00811C74"/>
    <w:rsid w:val="008165E7"/>
    <w:rsid w:val="00820D38"/>
    <w:rsid w:val="0082790A"/>
    <w:rsid w:val="00827E0E"/>
    <w:rsid w:val="0083101B"/>
    <w:rsid w:val="008323E3"/>
    <w:rsid w:val="00834008"/>
    <w:rsid w:val="008340F1"/>
    <w:rsid w:val="00835D7D"/>
    <w:rsid w:val="00837EB0"/>
    <w:rsid w:val="00840059"/>
    <w:rsid w:val="00856C46"/>
    <w:rsid w:val="008610AC"/>
    <w:rsid w:val="00861D29"/>
    <w:rsid w:val="00866960"/>
    <w:rsid w:val="00871611"/>
    <w:rsid w:val="00872B2B"/>
    <w:rsid w:val="00877381"/>
    <w:rsid w:val="00887A6E"/>
    <w:rsid w:val="008918A7"/>
    <w:rsid w:val="00894E17"/>
    <w:rsid w:val="00894E52"/>
    <w:rsid w:val="00895CB0"/>
    <w:rsid w:val="008A2618"/>
    <w:rsid w:val="008A2BBA"/>
    <w:rsid w:val="008A4154"/>
    <w:rsid w:val="008A567E"/>
    <w:rsid w:val="008B3184"/>
    <w:rsid w:val="008C0161"/>
    <w:rsid w:val="008C20E1"/>
    <w:rsid w:val="008C3D3D"/>
    <w:rsid w:val="008C557C"/>
    <w:rsid w:val="008C7C5D"/>
    <w:rsid w:val="008D0494"/>
    <w:rsid w:val="008D125F"/>
    <w:rsid w:val="008D2D15"/>
    <w:rsid w:val="008E5030"/>
    <w:rsid w:val="008F109C"/>
    <w:rsid w:val="008F2398"/>
    <w:rsid w:val="008F251D"/>
    <w:rsid w:val="008F7DB7"/>
    <w:rsid w:val="00900B53"/>
    <w:rsid w:val="009037E5"/>
    <w:rsid w:val="00907978"/>
    <w:rsid w:val="009114DA"/>
    <w:rsid w:val="009121CE"/>
    <w:rsid w:val="00912245"/>
    <w:rsid w:val="009149F8"/>
    <w:rsid w:val="00915DA5"/>
    <w:rsid w:val="00916996"/>
    <w:rsid w:val="00917107"/>
    <w:rsid w:val="009201A0"/>
    <w:rsid w:val="0092516B"/>
    <w:rsid w:val="0092630C"/>
    <w:rsid w:val="009264AF"/>
    <w:rsid w:val="00926722"/>
    <w:rsid w:val="0092692B"/>
    <w:rsid w:val="00940052"/>
    <w:rsid w:val="00940AD7"/>
    <w:rsid w:val="00940FE2"/>
    <w:rsid w:val="00946817"/>
    <w:rsid w:val="009524FE"/>
    <w:rsid w:val="0095637D"/>
    <w:rsid w:val="00962E12"/>
    <w:rsid w:val="009653FE"/>
    <w:rsid w:val="009705ED"/>
    <w:rsid w:val="00972A06"/>
    <w:rsid w:val="009830FA"/>
    <w:rsid w:val="009855F2"/>
    <w:rsid w:val="00986808"/>
    <w:rsid w:val="00986A97"/>
    <w:rsid w:val="009A1A58"/>
    <w:rsid w:val="009A2F26"/>
    <w:rsid w:val="009A36AA"/>
    <w:rsid w:val="009A3EBA"/>
    <w:rsid w:val="009A4447"/>
    <w:rsid w:val="009A4B59"/>
    <w:rsid w:val="009C29CB"/>
    <w:rsid w:val="009C5C56"/>
    <w:rsid w:val="009D1CD2"/>
    <w:rsid w:val="009D759B"/>
    <w:rsid w:val="009E1BD4"/>
    <w:rsid w:val="009E1FC4"/>
    <w:rsid w:val="009E71FA"/>
    <w:rsid w:val="009F2ABB"/>
    <w:rsid w:val="009F445A"/>
    <w:rsid w:val="009F539E"/>
    <w:rsid w:val="009F635E"/>
    <w:rsid w:val="00A021CD"/>
    <w:rsid w:val="00A027C8"/>
    <w:rsid w:val="00A02D36"/>
    <w:rsid w:val="00A03D3C"/>
    <w:rsid w:val="00A0464A"/>
    <w:rsid w:val="00A0541A"/>
    <w:rsid w:val="00A066A7"/>
    <w:rsid w:val="00A07B5F"/>
    <w:rsid w:val="00A12459"/>
    <w:rsid w:val="00A12FD7"/>
    <w:rsid w:val="00A13836"/>
    <w:rsid w:val="00A141E7"/>
    <w:rsid w:val="00A224FE"/>
    <w:rsid w:val="00A27C0D"/>
    <w:rsid w:val="00A31B24"/>
    <w:rsid w:val="00A32C9C"/>
    <w:rsid w:val="00A41E3B"/>
    <w:rsid w:val="00A42A26"/>
    <w:rsid w:val="00A46A73"/>
    <w:rsid w:val="00A47409"/>
    <w:rsid w:val="00A5439B"/>
    <w:rsid w:val="00A54F9B"/>
    <w:rsid w:val="00A57B15"/>
    <w:rsid w:val="00A618D8"/>
    <w:rsid w:val="00A62ADF"/>
    <w:rsid w:val="00A635BB"/>
    <w:rsid w:val="00A70733"/>
    <w:rsid w:val="00A804E6"/>
    <w:rsid w:val="00A80987"/>
    <w:rsid w:val="00A86796"/>
    <w:rsid w:val="00A91F7D"/>
    <w:rsid w:val="00A975DE"/>
    <w:rsid w:val="00AA03B7"/>
    <w:rsid w:val="00AA10A8"/>
    <w:rsid w:val="00AA39C9"/>
    <w:rsid w:val="00AA56F5"/>
    <w:rsid w:val="00AB3587"/>
    <w:rsid w:val="00AB3C6C"/>
    <w:rsid w:val="00AB4709"/>
    <w:rsid w:val="00AB7234"/>
    <w:rsid w:val="00AB7E01"/>
    <w:rsid w:val="00AC2FF2"/>
    <w:rsid w:val="00AC7A56"/>
    <w:rsid w:val="00AD324C"/>
    <w:rsid w:val="00AD492D"/>
    <w:rsid w:val="00AE3CE3"/>
    <w:rsid w:val="00AE5358"/>
    <w:rsid w:val="00AE5FE5"/>
    <w:rsid w:val="00AE63A7"/>
    <w:rsid w:val="00AF063A"/>
    <w:rsid w:val="00AF13BD"/>
    <w:rsid w:val="00AF442A"/>
    <w:rsid w:val="00B009E2"/>
    <w:rsid w:val="00B0141F"/>
    <w:rsid w:val="00B05F24"/>
    <w:rsid w:val="00B10B15"/>
    <w:rsid w:val="00B1312F"/>
    <w:rsid w:val="00B13164"/>
    <w:rsid w:val="00B14219"/>
    <w:rsid w:val="00B143FD"/>
    <w:rsid w:val="00B16A4C"/>
    <w:rsid w:val="00B21007"/>
    <w:rsid w:val="00B24A2E"/>
    <w:rsid w:val="00B26A9F"/>
    <w:rsid w:val="00B3144B"/>
    <w:rsid w:val="00B349D4"/>
    <w:rsid w:val="00B356DB"/>
    <w:rsid w:val="00B50EC3"/>
    <w:rsid w:val="00B51DEF"/>
    <w:rsid w:val="00B56741"/>
    <w:rsid w:val="00B621D5"/>
    <w:rsid w:val="00B67090"/>
    <w:rsid w:val="00B67F1A"/>
    <w:rsid w:val="00B8156C"/>
    <w:rsid w:val="00B83010"/>
    <w:rsid w:val="00B84799"/>
    <w:rsid w:val="00B8527D"/>
    <w:rsid w:val="00B87DAD"/>
    <w:rsid w:val="00B962A9"/>
    <w:rsid w:val="00BA0308"/>
    <w:rsid w:val="00BA266A"/>
    <w:rsid w:val="00BA4F7A"/>
    <w:rsid w:val="00BA5987"/>
    <w:rsid w:val="00BA767C"/>
    <w:rsid w:val="00BB1C4A"/>
    <w:rsid w:val="00BB5595"/>
    <w:rsid w:val="00BB7576"/>
    <w:rsid w:val="00BC0386"/>
    <w:rsid w:val="00BC2B92"/>
    <w:rsid w:val="00BC331F"/>
    <w:rsid w:val="00BD0E9F"/>
    <w:rsid w:val="00BD296B"/>
    <w:rsid w:val="00BD4A7B"/>
    <w:rsid w:val="00BE2E1C"/>
    <w:rsid w:val="00BE33C0"/>
    <w:rsid w:val="00BF0B4A"/>
    <w:rsid w:val="00BF1075"/>
    <w:rsid w:val="00BF1EE0"/>
    <w:rsid w:val="00BF6BD8"/>
    <w:rsid w:val="00C00E21"/>
    <w:rsid w:val="00C05466"/>
    <w:rsid w:val="00C102F2"/>
    <w:rsid w:val="00C1082B"/>
    <w:rsid w:val="00C13A1D"/>
    <w:rsid w:val="00C13D48"/>
    <w:rsid w:val="00C15262"/>
    <w:rsid w:val="00C1603C"/>
    <w:rsid w:val="00C22C69"/>
    <w:rsid w:val="00C25A2A"/>
    <w:rsid w:val="00C34903"/>
    <w:rsid w:val="00C36D3C"/>
    <w:rsid w:val="00C43BE5"/>
    <w:rsid w:val="00C537D3"/>
    <w:rsid w:val="00C54E88"/>
    <w:rsid w:val="00C55BAF"/>
    <w:rsid w:val="00C5781A"/>
    <w:rsid w:val="00C6205C"/>
    <w:rsid w:val="00C66B0B"/>
    <w:rsid w:val="00C75A20"/>
    <w:rsid w:val="00C7615B"/>
    <w:rsid w:val="00C80DF5"/>
    <w:rsid w:val="00C81D40"/>
    <w:rsid w:val="00C82137"/>
    <w:rsid w:val="00C84AC1"/>
    <w:rsid w:val="00C92724"/>
    <w:rsid w:val="00C92E37"/>
    <w:rsid w:val="00C96256"/>
    <w:rsid w:val="00CA0F1D"/>
    <w:rsid w:val="00CA541A"/>
    <w:rsid w:val="00CA5979"/>
    <w:rsid w:val="00CB10A7"/>
    <w:rsid w:val="00CB6FCE"/>
    <w:rsid w:val="00CC0155"/>
    <w:rsid w:val="00CC1A2F"/>
    <w:rsid w:val="00CC753A"/>
    <w:rsid w:val="00CD25CF"/>
    <w:rsid w:val="00CD4D42"/>
    <w:rsid w:val="00CD4EDB"/>
    <w:rsid w:val="00CD576A"/>
    <w:rsid w:val="00CE11A7"/>
    <w:rsid w:val="00CE3C86"/>
    <w:rsid w:val="00CE4745"/>
    <w:rsid w:val="00CF2ADA"/>
    <w:rsid w:val="00CF772D"/>
    <w:rsid w:val="00D009BE"/>
    <w:rsid w:val="00D054D0"/>
    <w:rsid w:val="00D10610"/>
    <w:rsid w:val="00D1093F"/>
    <w:rsid w:val="00D13F4F"/>
    <w:rsid w:val="00D16ADA"/>
    <w:rsid w:val="00D16FFE"/>
    <w:rsid w:val="00D20227"/>
    <w:rsid w:val="00D22EF3"/>
    <w:rsid w:val="00D31972"/>
    <w:rsid w:val="00D31F42"/>
    <w:rsid w:val="00D3479F"/>
    <w:rsid w:val="00D47D6C"/>
    <w:rsid w:val="00D5254E"/>
    <w:rsid w:val="00D531EC"/>
    <w:rsid w:val="00D5511E"/>
    <w:rsid w:val="00D57561"/>
    <w:rsid w:val="00D60EF4"/>
    <w:rsid w:val="00D61FC5"/>
    <w:rsid w:val="00D654EA"/>
    <w:rsid w:val="00D82CC7"/>
    <w:rsid w:val="00D86429"/>
    <w:rsid w:val="00D9448A"/>
    <w:rsid w:val="00D9678E"/>
    <w:rsid w:val="00DA3EC8"/>
    <w:rsid w:val="00DA56A8"/>
    <w:rsid w:val="00DB0961"/>
    <w:rsid w:val="00DD4BC9"/>
    <w:rsid w:val="00DD4DDD"/>
    <w:rsid w:val="00DE58F6"/>
    <w:rsid w:val="00DF0DD5"/>
    <w:rsid w:val="00DF2E86"/>
    <w:rsid w:val="00E02F45"/>
    <w:rsid w:val="00E04171"/>
    <w:rsid w:val="00E06881"/>
    <w:rsid w:val="00E13595"/>
    <w:rsid w:val="00E142C4"/>
    <w:rsid w:val="00E20746"/>
    <w:rsid w:val="00E243ED"/>
    <w:rsid w:val="00E273FB"/>
    <w:rsid w:val="00E408AC"/>
    <w:rsid w:val="00E5567B"/>
    <w:rsid w:val="00E556E1"/>
    <w:rsid w:val="00E62E3B"/>
    <w:rsid w:val="00E63531"/>
    <w:rsid w:val="00E63CC0"/>
    <w:rsid w:val="00E641B5"/>
    <w:rsid w:val="00E72221"/>
    <w:rsid w:val="00E72369"/>
    <w:rsid w:val="00E724CF"/>
    <w:rsid w:val="00E7609E"/>
    <w:rsid w:val="00E83313"/>
    <w:rsid w:val="00E840E9"/>
    <w:rsid w:val="00E864C7"/>
    <w:rsid w:val="00E929E3"/>
    <w:rsid w:val="00EA2F8E"/>
    <w:rsid w:val="00EA30D8"/>
    <w:rsid w:val="00EA7385"/>
    <w:rsid w:val="00EB0DE2"/>
    <w:rsid w:val="00EB3158"/>
    <w:rsid w:val="00EB7222"/>
    <w:rsid w:val="00EC20B4"/>
    <w:rsid w:val="00EC4289"/>
    <w:rsid w:val="00EC5876"/>
    <w:rsid w:val="00EC69F7"/>
    <w:rsid w:val="00ED0E3C"/>
    <w:rsid w:val="00ED4DA4"/>
    <w:rsid w:val="00ED5E9A"/>
    <w:rsid w:val="00ED717E"/>
    <w:rsid w:val="00ED7907"/>
    <w:rsid w:val="00EE15C9"/>
    <w:rsid w:val="00EE22DC"/>
    <w:rsid w:val="00EE2695"/>
    <w:rsid w:val="00EE5653"/>
    <w:rsid w:val="00EF199C"/>
    <w:rsid w:val="00EF30DF"/>
    <w:rsid w:val="00EF4BF2"/>
    <w:rsid w:val="00EF619D"/>
    <w:rsid w:val="00F00A7E"/>
    <w:rsid w:val="00F0102E"/>
    <w:rsid w:val="00F13D50"/>
    <w:rsid w:val="00F15C51"/>
    <w:rsid w:val="00F16A4D"/>
    <w:rsid w:val="00F2080F"/>
    <w:rsid w:val="00F21065"/>
    <w:rsid w:val="00F35DF6"/>
    <w:rsid w:val="00F3659A"/>
    <w:rsid w:val="00F4099D"/>
    <w:rsid w:val="00F45975"/>
    <w:rsid w:val="00F5072E"/>
    <w:rsid w:val="00F50A79"/>
    <w:rsid w:val="00F55D3C"/>
    <w:rsid w:val="00F60F28"/>
    <w:rsid w:val="00F64FF2"/>
    <w:rsid w:val="00F6681E"/>
    <w:rsid w:val="00F71C7E"/>
    <w:rsid w:val="00F82660"/>
    <w:rsid w:val="00F87036"/>
    <w:rsid w:val="00F9109C"/>
    <w:rsid w:val="00F96E72"/>
    <w:rsid w:val="00FA372A"/>
    <w:rsid w:val="00FA51F4"/>
    <w:rsid w:val="00FA5A0F"/>
    <w:rsid w:val="00FB1295"/>
    <w:rsid w:val="00FB1384"/>
    <w:rsid w:val="00FB2323"/>
    <w:rsid w:val="00FB593B"/>
    <w:rsid w:val="00FB6A37"/>
    <w:rsid w:val="00FB6C65"/>
    <w:rsid w:val="00FB6D84"/>
    <w:rsid w:val="00FC0F28"/>
    <w:rsid w:val="00FC3A11"/>
    <w:rsid w:val="00FC44E0"/>
    <w:rsid w:val="00FC7B2B"/>
    <w:rsid w:val="00FD1504"/>
    <w:rsid w:val="00FD4327"/>
    <w:rsid w:val="00FD7C48"/>
    <w:rsid w:val="00FE0CA6"/>
    <w:rsid w:val="00FE2CC2"/>
    <w:rsid w:val="00FE6A27"/>
    <w:rsid w:val="00FE79AF"/>
    <w:rsid w:val="00FE7E9E"/>
    <w:rsid w:val="00FF280F"/>
    <w:rsid w:val="4BD35964"/>
    <w:rsid w:val="62A738AD"/>
    <w:rsid w:val="6BD827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paragraph" w:styleId="2">
    <w:name w:val="heading 1"/>
    <w:basedOn w:val="1"/>
    <w:next w:val="1"/>
    <w:link w:val="15"/>
    <w:qFormat/>
    <w:uiPriority w:val="9"/>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3"/>
    <w:semiHidden/>
    <w:qFormat/>
    <w:uiPriority w:val="99"/>
    <w:rPr>
      <w:rFonts w:ascii="Calibri" w:hAnsi="Calibri" w:eastAsia="宋体" w:cs="Times New Roman"/>
      <w:kern w:val="1"/>
    </w:rPr>
  </w:style>
  <w:style w:type="character" w:customStyle="1" w:styleId="13">
    <w:name w:val="批注主题 字符"/>
    <w:basedOn w:val="12"/>
    <w:link w:val="7"/>
    <w:semiHidden/>
    <w:qFormat/>
    <w:uiPriority w:val="99"/>
    <w:rPr>
      <w:rFonts w:ascii="Calibri" w:hAnsi="Calibri" w:eastAsia="宋体" w:cs="Times New Roman"/>
      <w:b/>
      <w:bCs/>
      <w:kern w:val="1"/>
    </w:rPr>
  </w:style>
  <w:style w:type="character" w:customStyle="1" w:styleId="14">
    <w:name w:val="批注框文本 字符"/>
    <w:basedOn w:val="10"/>
    <w:link w:val="4"/>
    <w:semiHidden/>
    <w:qFormat/>
    <w:uiPriority w:val="99"/>
    <w:rPr>
      <w:rFonts w:ascii="Calibri" w:hAnsi="Calibri" w:eastAsia="宋体" w:cs="Times New Roman"/>
      <w:kern w:val="1"/>
      <w:sz w:val="18"/>
      <w:szCs w:val="18"/>
    </w:rPr>
  </w:style>
  <w:style w:type="character" w:customStyle="1" w:styleId="15">
    <w:name w:val="标题 1 字符"/>
    <w:basedOn w:val="10"/>
    <w:link w:val="2"/>
    <w:qFormat/>
    <w:uiPriority w:val="9"/>
    <w:rPr>
      <w:rFonts w:ascii="宋体" w:hAnsi="宋体" w:eastAsia="宋体" w:cs="宋体"/>
      <w:b/>
      <w:bCs/>
      <w:kern w:val="36"/>
      <w:sz w:val="48"/>
      <w:szCs w:val="48"/>
    </w:rPr>
  </w:style>
  <w:style w:type="character" w:customStyle="1" w:styleId="16">
    <w:name w:val="页眉 字符"/>
    <w:basedOn w:val="10"/>
    <w:link w:val="6"/>
    <w:qFormat/>
    <w:uiPriority w:val="99"/>
    <w:rPr>
      <w:rFonts w:ascii="Calibri" w:hAnsi="Calibri" w:eastAsia="宋体" w:cs="Times New Roman"/>
      <w:kern w:val="1"/>
      <w:sz w:val="18"/>
      <w:szCs w:val="18"/>
    </w:rPr>
  </w:style>
  <w:style w:type="character" w:customStyle="1" w:styleId="17">
    <w:name w:val="页脚 字符"/>
    <w:basedOn w:val="10"/>
    <w:link w:val="5"/>
    <w:qFormat/>
    <w:uiPriority w:val="99"/>
    <w:rPr>
      <w:rFonts w:ascii="Calibri" w:hAnsi="Calibri" w:eastAsia="宋体" w:cs="Times New Roman"/>
      <w:kern w:val="1"/>
      <w:sz w:val="18"/>
      <w:szCs w:val="18"/>
    </w:rPr>
  </w:style>
  <w:style w:type="paragraph" w:styleId="18">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2"/>
      <w:lang w:val="en-US" w:eastAsia="zh-CN" w:bidi="ar-SA"/>
    </w:rPr>
  </w:style>
  <w:style w:type="character" w:customStyle="1" w:styleId="19">
    <w:name w:val="apple-converted-space"/>
    <w:basedOn w:val="10"/>
    <w:qFormat/>
    <w:uiPriority w:val="0"/>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8213-3362-4C88-B403-128B7AA67E79}">
  <ds:schemaRefs/>
</ds:datastoreItem>
</file>

<file path=docProps/app.xml><?xml version="1.0" encoding="utf-8"?>
<Properties xmlns="http://schemas.openxmlformats.org/officeDocument/2006/extended-properties" xmlns:vt="http://schemas.openxmlformats.org/officeDocument/2006/docPropsVTypes">
  <Template>Normal</Template>
  <Pages>5</Pages>
  <Words>2833</Words>
  <Characters>3205</Characters>
  <Lines>23</Lines>
  <Paragraphs>6</Paragraphs>
  <TotalTime>757</TotalTime>
  <ScaleCrop>false</ScaleCrop>
  <LinksUpToDate>false</LinksUpToDate>
  <CharactersWithSpaces>3221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2023-03-01T10:15:00Z</dcterms:created>
  <dc:creator>infaith Mancy</dc:creator>
  <cp:lastModifiedBy>wqy</cp:lastModifiedBy>
  <cp:lastPrinted>2023-03-01T10:39:00Z</cp:lastPrinted>
  <dcterms:modified xsi:type="dcterms:W3CDTF">2025-07-08T08:15:21Z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8530742DA75D41D7BD246E3754570EEE</vt:lpwstr>
  </property>
  <property fmtid="{D5CDD505-2E9C-101B-9397-08002B2CF9AE}" pid="4" name="KSOTemplateDocerSaveRecord">
    <vt:lpwstr>eyJoZGlkIjoiNGM3YWY1YmM5NDc3Y2ZlNDMwYTgwNzM3M2VhMmU4Y2IiLCJ1c2VySWQiOiIyNTgzNjc1NDQifQ==</vt:lpwstr>
  </property>
</Properties>
</file>