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72" w:rsidRPr="00352F7C" w:rsidRDefault="00A92DCB">
      <w:pPr>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公告编号：</w:t>
      </w:r>
      <w:r w:rsidR="00651EBC">
        <w:rPr>
          <w:rFonts w:asciiTheme="minorEastAsia" w:eastAsiaTheme="minorEastAsia" w:hAnsiTheme="minorEastAsia"/>
          <w:sz w:val="24"/>
          <w:szCs w:val="24"/>
        </w:rPr>
        <w:t>202</w:t>
      </w:r>
      <w:r w:rsidR="001E6C18">
        <w:rPr>
          <w:rFonts w:asciiTheme="minorEastAsia" w:eastAsiaTheme="minorEastAsia" w:hAnsiTheme="minorEastAsia"/>
          <w:sz w:val="24"/>
          <w:szCs w:val="24"/>
        </w:rPr>
        <w:t>4</w:t>
      </w:r>
      <w:r w:rsidR="005B317E">
        <w:rPr>
          <w:rFonts w:asciiTheme="minorEastAsia" w:eastAsiaTheme="minorEastAsia" w:hAnsiTheme="minorEastAsia"/>
          <w:sz w:val="24"/>
          <w:szCs w:val="24"/>
        </w:rPr>
        <w:t>-</w:t>
      </w:r>
      <w:r w:rsidR="00C30B5B">
        <w:rPr>
          <w:rFonts w:asciiTheme="minorEastAsia" w:eastAsiaTheme="minorEastAsia" w:hAnsiTheme="minorEastAsia"/>
          <w:sz w:val="24"/>
          <w:szCs w:val="24"/>
        </w:rPr>
        <w:t>032</w:t>
      </w:r>
    </w:p>
    <w:p w:rsidR="00E64872" w:rsidRDefault="00E64872">
      <w:pPr>
        <w:spacing w:line="360" w:lineRule="auto"/>
        <w:ind w:firstLine="723"/>
        <w:jc w:val="center"/>
        <w:rPr>
          <w:rFonts w:asciiTheme="minorEastAsia" w:eastAsiaTheme="minorEastAsia" w:hAnsiTheme="minorEastAsia"/>
          <w:b/>
          <w:color w:val="FF0000"/>
          <w:sz w:val="36"/>
          <w:szCs w:val="36"/>
        </w:rPr>
      </w:pPr>
    </w:p>
    <w:p w:rsidR="00E64872" w:rsidRDefault="00A92DCB">
      <w:pPr>
        <w:spacing w:beforeLines="50" w:before="120" w:afterLines="50" w:after="120" w:line="300" w:lineRule="auto"/>
        <w:jc w:val="center"/>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山东步长制药股份有限公司</w:t>
      </w:r>
    </w:p>
    <w:p w:rsidR="00E64872" w:rsidRDefault="00A92DCB">
      <w:pPr>
        <w:spacing w:beforeLines="50" w:before="120" w:afterLines="50" w:after="120" w:line="300" w:lineRule="auto"/>
        <w:jc w:val="center"/>
        <w:rPr>
          <w:rFonts w:asciiTheme="minorEastAsia" w:eastAsiaTheme="minorEastAsia" w:hAnsiTheme="minorEastAsia"/>
          <w:b/>
          <w:color w:val="FF0000"/>
          <w:sz w:val="32"/>
          <w:szCs w:val="32"/>
        </w:rPr>
      </w:pPr>
      <w:r>
        <w:rPr>
          <w:rFonts w:asciiTheme="minorEastAsia" w:eastAsiaTheme="minorEastAsia" w:hAnsiTheme="minorEastAsia" w:hint="eastAsia"/>
          <w:b/>
          <w:color w:val="FF0000"/>
          <w:sz w:val="32"/>
          <w:szCs w:val="32"/>
        </w:rPr>
        <w:t>关于</w:t>
      </w:r>
      <w:r w:rsidR="00D24EF1">
        <w:rPr>
          <w:rFonts w:asciiTheme="minorEastAsia" w:eastAsiaTheme="minorEastAsia" w:hAnsiTheme="minorEastAsia" w:hint="eastAsia"/>
          <w:b/>
          <w:color w:val="FF0000"/>
          <w:sz w:val="32"/>
          <w:szCs w:val="32"/>
        </w:rPr>
        <w:t>控股</w:t>
      </w:r>
      <w:r>
        <w:rPr>
          <w:rFonts w:asciiTheme="minorEastAsia" w:eastAsiaTheme="minorEastAsia" w:hAnsiTheme="minorEastAsia" w:hint="eastAsia"/>
          <w:b/>
          <w:color w:val="FF0000"/>
          <w:sz w:val="32"/>
          <w:szCs w:val="32"/>
        </w:rPr>
        <w:t>子公司提供担保的公告</w:t>
      </w:r>
    </w:p>
    <w:p w:rsidR="00E64872" w:rsidRDefault="00A92DCB">
      <w:pPr>
        <w:pBdr>
          <w:top w:val="single" w:sz="4" w:space="1" w:color="000000"/>
          <w:left w:val="single" w:sz="4" w:space="4" w:color="000000"/>
          <w:bottom w:val="single" w:sz="4" w:space="9" w:color="000000"/>
          <w:right w:val="single" w:sz="4" w:space="4" w:color="000000"/>
        </w:pBdr>
        <w:spacing w:line="520" w:lineRule="exact"/>
        <w:ind w:firstLine="482"/>
        <w:rPr>
          <w:rFonts w:asciiTheme="minorEastAsia" w:eastAsiaTheme="minorEastAsia" w:hAnsiTheme="minorEastAsia"/>
          <w:sz w:val="24"/>
          <w:szCs w:val="24"/>
        </w:rPr>
      </w:pPr>
      <w:r>
        <w:rPr>
          <w:rFonts w:asciiTheme="minorEastAsia" w:eastAsiaTheme="minorEastAsia" w:hAnsiTheme="minorEastAsia"/>
          <w:sz w:val="24"/>
          <w:szCs w:val="24"/>
        </w:rPr>
        <w:t>本公司</w:t>
      </w:r>
      <w:r>
        <w:rPr>
          <w:rFonts w:asciiTheme="minorEastAsia" w:eastAsiaTheme="minorEastAsia" w:hAnsiTheme="minorEastAsia" w:hint="eastAsia"/>
          <w:sz w:val="24"/>
          <w:szCs w:val="24"/>
        </w:rPr>
        <w:t>董事会</w:t>
      </w:r>
      <w:r>
        <w:rPr>
          <w:rFonts w:asciiTheme="minorEastAsia" w:eastAsiaTheme="minorEastAsia" w:hAnsiTheme="minorEastAsia"/>
          <w:sz w:val="24"/>
          <w:szCs w:val="24"/>
        </w:rPr>
        <w:t>及</w:t>
      </w:r>
      <w:r>
        <w:rPr>
          <w:rFonts w:asciiTheme="minorEastAsia" w:eastAsiaTheme="minorEastAsia" w:hAnsiTheme="minorEastAsia" w:hint="eastAsia"/>
          <w:sz w:val="24"/>
          <w:szCs w:val="24"/>
        </w:rPr>
        <w:t>全体</w:t>
      </w:r>
      <w:r>
        <w:rPr>
          <w:rFonts w:asciiTheme="minorEastAsia" w:eastAsiaTheme="minorEastAsia" w:hAnsiTheme="minorEastAsia"/>
          <w:sz w:val="24"/>
          <w:szCs w:val="24"/>
        </w:rPr>
        <w:t>董事保证</w:t>
      </w:r>
      <w:r>
        <w:rPr>
          <w:rFonts w:asciiTheme="minorEastAsia" w:eastAsiaTheme="minorEastAsia" w:hAnsiTheme="minorEastAsia" w:hint="eastAsia"/>
          <w:sz w:val="24"/>
          <w:szCs w:val="24"/>
        </w:rPr>
        <w:t>本</w:t>
      </w:r>
      <w:r>
        <w:rPr>
          <w:rFonts w:asciiTheme="minorEastAsia" w:eastAsiaTheme="minorEastAsia" w:hAnsiTheme="minorEastAsia"/>
          <w:sz w:val="24"/>
          <w:szCs w:val="24"/>
        </w:rPr>
        <w:t>公告内容不存在</w:t>
      </w:r>
      <w:r>
        <w:rPr>
          <w:rFonts w:asciiTheme="minorEastAsia" w:eastAsiaTheme="minorEastAsia" w:hAnsiTheme="minorEastAsia" w:hint="eastAsia"/>
          <w:sz w:val="24"/>
          <w:szCs w:val="24"/>
        </w:rPr>
        <w:t>任何</w:t>
      </w:r>
      <w:r>
        <w:rPr>
          <w:rFonts w:asciiTheme="minorEastAsia" w:eastAsiaTheme="minorEastAsia" w:hAnsiTheme="minorEastAsia"/>
          <w:sz w:val="24"/>
          <w:szCs w:val="24"/>
        </w:rPr>
        <w:t>虚假记载、误导性陈述或者重大遗漏，并对其内容的真实性、准确性和完整性承担</w:t>
      </w:r>
      <w:r>
        <w:rPr>
          <w:rFonts w:asciiTheme="minorEastAsia" w:eastAsiaTheme="minorEastAsia" w:hAnsiTheme="minorEastAsia" w:hint="eastAsia"/>
          <w:sz w:val="24"/>
          <w:szCs w:val="24"/>
        </w:rPr>
        <w:t>法律</w:t>
      </w:r>
      <w:r>
        <w:rPr>
          <w:rFonts w:asciiTheme="minorEastAsia" w:eastAsiaTheme="minorEastAsia" w:hAnsiTheme="minorEastAsia"/>
          <w:sz w:val="24"/>
          <w:szCs w:val="24"/>
        </w:rPr>
        <w:t>责任。</w:t>
      </w:r>
    </w:p>
    <w:p w:rsidR="00E64872" w:rsidRDefault="00E64872">
      <w:pPr>
        <w:spacing w:line="360" w:lineRule="auto"/>
        <w:ind w:firstLineChars="200" w:firstLine="482"/>
        <w:rPr>
          <w:rFonts w:asciiTheme="minorEastAsia" w:eastAsiaTheme="minorEastAsia" w:hAnsiTheme="minorEastAsia"/>
          <w:b/>
          <w:sz w:val="24"/>
          <w:szCs w:val="24"/>
        </w:rPr>
      </w:pPr>
    </w:p>
    <w:p w:rsidR="00E64872" w:rsidRDefault="00A92DC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重要内容提示：</w:t>
      </w:r>
    </w:p>
    <w:p w:rsidR="00E64872" w:rsidRDefault="00A92DCB" w:rsidP="00651EBC">
      <w:pPr>
        <w:pStyle w:val="af0"/>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被担保</w:t>
      </w:r>
      <w:r>
        <w:rPr>
          <w:rFonts w:asciiTheme="minorEastAsia" w:eastAsiaTheme="minorEastAsia" w:hAnsiTheme="minorEastAsia"/>
          <w:sz w:val="24"/>
          <w:szCs w:val="24"/>
        </w:rPr>
        <w:t>人名</w:t>
      </w:r>
      <w:r>
        <w:rPr>
          <w:rFonts w:asciiTheme="minorEastAsia" w:eastAsiaTheme="minorEastAsia" w:hAnsiTheme="minorEastAsia" w:hint="eastAsia"/>
          <w:sz w:val="24"/>
          <w:szCs w:val="24"/>
        </w:rPr>
        <w:t>称及是否为上市公司关联人</w:t>
      </w:r>
      <w:r>
        <w:rPr>
          <w:rFonts w:asciiTheme="minorEastAsia" w:eastAsiaTheme="minorEastAsia" w:hAnsiTheme="minorEastAsia"/>
          <w:sz w:val="24"/>
          <w:szCs w:val="24"/>
        </w:rPr>
        <w:t>：</w:t>
      </w:r>
      <w:r w:rsidR="00C732A8">
        <w:rPr>
          <w:rFonts w:asciiTheme="minorEastAsia" w:eastAsiaTheme="minorEastAsia" w:hAnsiTheme="minorEastAsia" w:hint="eastAsia"/>
          <w:sz w:val="24"/>
          <w:szCs w:val="24"/>
        </w:rPr>
        <w:t>浙江天元生物药业有限公司</w:t>
      </w:r>
      <w:r w:rsidR="00D24EF1">
        <w:rPr>
          <w:rFonts w:asciiTheme="minorEastAsia" w:eastAsiaTheme="minorEastAsia" w:hAnsiTheme="minorEastAsia" w:hint="eastAsia"/>
          <w:sz w:val="24"/>
          <w:szCs w:val="24"/>
        </w:rPr>
        <w:t>，为公司控股子公司浙江华派生物医药有限公司的全资子公司</w:t>
      </w:r>
      <w:r>
        <w:rPr>
          <w:rFonts w:asciiTheme="minorEastAsia" w:eastAsiaTheme="minorEastAsia" w:hAnsiTheme="minorEastAsia" w:hint="eastAsia"/>
          <w:sz w:val="24"/>
          <w:szCs w:val="24"/>
        </w:rPr>
        <w:t>。</w:t>
      </w:r>
    </w:p>
    <w:p w:rsidR="00C732A8" w:rsidRDefault="00C732A8" w:rsidP="00651EBC">
      <w:pPr>
        <w:pStyle w:val="af0"/>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担保人名称：浙江华派生物医药有限公司</w:t>
      </w:r>
    </w:p>
    <w:p w:rsidR="00ED1EB2" w:rsidRPr="00ED1EB2" w:rsidRDefault="00ED1EB2" w:rsidP="0065538B">
      <w:pPr>
        <w:pStyle w:val="af1"/>
        <w:numPr>
          <w:ilvl w:val="0"/>
          <w:numId w:val="1"/>
        </w:numPr>
        <w:spacing w:line="360" w:lineRule="auto"/>
        <w:ind w:firstLineChars="0"/>
        <w:rPr>
          <w:rFonts w:asciiTheme="minorEastAsia" w:eastAsiaTheme="minorEastAsia" w:hAnsiTheme="minorEastAsia"/>
          <w:b/>
          <w:sz w:val="24"/>
          <w:szCs w:val="24"/>
        </w:rPr>
      </w:pPr>
      <w:r w:rsidRPr="00ED1EB2">
        <w:rPr>
          <w:rFonts w:asciiTheme="minorEastAsia" w:eastAsiaTheme="minorEastAsia" w:hAnsiTheme="minorEastAsia" w:hint="eastAsia"/>
          <w:bCs/>
          <w:sz w:val="24"/>
          <w:szCs w:val="24"/>
        </w:rPr>
        <w:t>本次担保金额及实际为其提供的担保余额：本次</w:t>
      </w:r>
      <w:r w:rsidR="00C732A8" w:rsidRPr="00C732A8">
        <w:rPr>
          <w:rFonts w:asciiTheme="minorEastAsia" w:eastAsiaTheme="minorEastAsia" w:hAnsiTheme="minorEastAsia" w:hint="eastAsia"/>
          <w:bCs/>
          <w:sz w:val="24"/>
          <w:szCs w:val="24"/>
        </w:rPr>
        <w:t>浙江华派生物医药有限公司</w:t>
      </w:r>
      <w:r w:rsidRPr="00ED1EB2">
        <w:rPr>
          <w:rFonts w:asciiTheme="minorEastAsia" w:eastAsiaTheme="minorEastAsia" w:hAnsiTheme="minorEastAsia" w:hint="eastAsia"/>
          <w:bCs/>
          <w:sz w:val="24"/>
          <w:szCs w:val="24"/>
        </w:rPr>
        <w:t>为</w:t>
      </w:r>
      <w:r w:rsidR="00C732A8" w:rsidRPr="00C732A8">
        <w:rPr>
          <w:rFonts w:asciiTheme="minorEastAsia" w:eastAsiaTheme="minorEastAsia" w:hAnsiTheme="minorEastAsia" w:hint="eastAsia"/>
          <w:bCs/>
          <w:sz w:val="24"/>
          <w:szCs w:val="24"/>
        </w:rPr>
        <w:t>浙江天元生物药业有限公司</w:t>
      </w:r>
      <w:r w:rsidR="00BA7246">
        <w:rPr>
          <w:rFonts w:asciiTheme="minorEastAsia" w:eastAsiaTheme="minorEastAsia" w:hAnsiTheme="minorEastAsia" w:hint="eastAsia"/>
          <w:bCs/>
          <w:sz w:val="24"/>
          <w:szCs w:val="24"/>
        </w:rPr>
        <w:t>1</w:t>
      </w:r>
      <w:r w:rsidR="00BA7246">
        <w:rPr>
          <w:rFonts w:asciiTheme="minorEastAsia" w:eastAsiaTheme="minorEastAsia" w:hAnsiTheme="minorEastAsia"/>
          <w:bCs/>
          <w:sz w:val="24"/>
          <w:szCs w:val="24"/>
        </w:rPr>
        <w:t>,000</w:t>
      </w:r>
      <w:r w:rsidR="00BA7246">
        <w:rPr>
          <w:rFonts w:asciiTheme="minorEastAsia" w:eastAsiaTheme="minorEastAsia" w:hAnsiTheme="minorEastAsia" w:hint="eastAsia"/>
          <w:bCs/>
          <w:sz w:val="24"/>
          <w:szCs w:val="24"/>
        </w:rPr>
        <w:t>万元借款承担共同还款责任，</w:t>
      </w:r>
      <w:r w:rsidR="00BA7246">
        <w:rPr>
          <w:rFonts w:asciiTheme="minorEastAsia" w:eastAsiaTheme="minorEastAsia" w:hAnsiTheme="minorEastAsia" w:hint="eastAsia"/>
          <w:sz w:val="24"/>
          <w:szCs w:val="24"/>
        </w:rPr>
        <w:t>构成公司对外担保。</w:t>
      </w:r>
      <w:r w:rsidRPr="00ED1EB2">
        <w:rPr>
          <w:rFonts w:asciiTheme="minorEastAsia" w:eastAsiaTheme="minorEastAsia" w:hAnsiTheme="minorEastAsia" w:hint="eastAsia"/>
          <w:bCs/>
          <w:sz w:val="24"/>
          <w:szCs w:val="24"/>
        </w:rPr>
        <w:t>截至本次担保前，</w:t>
      </w:r>
      <w:r w:rsidR="0065538B">
        <w:rPr>
          <w:rFonts w:asciiTheme="minorEastAsia" w:eastAsiaTheme="minorEastAsia" w:hAnsiTheme="minorEastAsia" w:hint="eastAsia"/>
          <w:bCs/>
          <w:sz w:val="24"/>
          <w:szCs w:val="24"/>
        </w:rPr>
        <w:t>公司及控股子公司</w:t>
      </w:r>
      <w:r w:rsidRPr="00ED1EB2">
        <w:rPr>
          <w:rFonts w:asciiTheme="minorEastAsia" w:eastAsiaTheme="minorEastAsia" w:hAnsiTheme="minorEastAsia" w:hint="eastAsia"/>
          <w:bCs/>
          <w:sz w:val="24"/>
          <w:szCs w:val="24"/>
        </w:rPr>
        <w:t>已为其提供的担保余额为人民币</w:t>
      </w:r>
      <w:r w:rsidR="0065538B">
        <w:rPr>
          <w:rFonts w:asciiTheme="minorEastAsia" w:eastAsiaTheme="minorEastAsia" w:hAnsiTheme="minorEastAsia" w:hint="eastAsia"/>
          <w:bCs/>
          <w:sz w:val="24"/>
          <w:szCs w:val="24"/>
        </w:rPr>
        <w:t>0</w:t>
      </w:r>
      <w:r w:rsidRPr="00ED1EB2">
        <w:rPr>
          <w:rFonts w:asciiTheme="minorEastAsia" w:eastAsiaTheme="minorEastAsia" w:hAnsiTheme="minorEastAsia" w:hint="eastAsia"/>
          <w:bCs/>
          <w:sz w:val="24"/>
          <w:szCs w:val="24"/>
        </w:rPr>
        <w:t>万元。公司及控股子公司已提供的担保余额为人民币</w:t>
      </w:r>
      <w:r w:rsidR="0065538B">
        <w:rPr>
          <w:rFonts w:asciiTheme="minorEastAsia" w:eastAsiaTheme="minorEastAsia" w:hAnsiTheme="minorEastAsia"/>
          <w:bCs/>
          <w:sz w:val="24"/>
          <w:szCs w:val="24"/>
        </w:rPr>
        <w:t>149,8</w:t>
      </w:r>
      <w:r w:rsidR="0065538B" w:rsidRPr="0065538B">
        <w:rPr>
          <w:rFonts w:asciiTheme="minorEastAsia" w:eastAsiaTheme="minorEastAsia" w:hAnsiTheme="minorEastAsia"/>
          <w:bCs/>
          <w:sz w:val="24"/>
          <w:szCs w:val="24"/>
        </w:rPr>
        <w:t>84</w:t>
      </w:r>
      <w:r w:rsidR="0065538B">
        <w:rPr>
          <w:rFonts w:asciiTheme="minorEastAsia" w:eastAsiaTheme="minorEastAsia" w:hAnsiTheme="minorEastAsia"/>
          <w:bCs/>
          <w:sz w:val="24"/>
          <w:szCs w:val="24"/>
        </w:rPr>
        <w:t>.</w:t>
      </w:r>
      <w:r w:rsidR="0065538B" w:rsidRPr="0065538B">
        <w:rPr>
          <w:rFonts w:asciiTheme="minorEastAsia" w:eastAsiaTheme="minorEastAsia" w:hAnsiTheme="minorEastAsia"/>
          <w:bCs/>
          <w:sz w:val="24"/>
          <w:szCs w:val="24"/>
        </w:rPr>
        <w:t>0</w:t>
      </w:r>
      <w:r w:rsidR="0065538B">
        <w:rPr>
          <w:rFonts w:asciiTheme="minorEastAsia" w:eastAsiaTheme="minorEastAsia" w:hAnsiTheme="minorEastAsia"/>
          <w:bCs/>
          <w:sz w:val="24"/>
          <w:szCs w:val="24"/>
        </w:rPr>
        <w:t>5</w:t>
      </w:r>
      <w:r w:rsidR="002B7944" w:rsidRPr="0065538B">
        <w:rPr>
          <w:rFonts w:asciiTheme="minorEastAsia" w:eastAsiaTheme="minorEastAsia" w:hAnsiTheme="minorEastAsia" w:hint="eastAsia"/>
          <w:bCs/>
          <w:sz w:val="24"/>
          <w:szCs w:val="24"/>
        </w:rPr>
        <w:t>万</w:t>
      </w:r>
      <w:r w:rsidRPr="0065538B">
        <w:rPr>
          <w:rFonts w:asciiTheme="minorEastAsia" w:eastAsiaTheme="minorEastAsia" w:hAnsiTheme="minorEastAsia" w:hint="eastAsia"/>
          <w:bCs/>
          <w:sz w:val="24"/>
          <w:szCs w:val="24"/>
        </w:rPr>
        <w:t>元</w:t>
      </w:r>
      <w:r w:rsidRPr="00ED1EB2">
        <w:rPr>
          <w:rFonts w:asciiTheme="minorEastAsia" w:eastAsiaTheme="minorEastAsia" w:hAnsiTheme="minorEastAsia" w:hint="eastAsia"/>
          <w:bCs/>
          <w:sz w:val="24"/>
          <w:szCs w:val="24"/>
        </w:rPr>
        <w:t>（含本次担保）。</w:t>
      </w:r>
    </w:p>
    <w:p w:rsidR="00E64872" w:rsidRDefault="00A92DCB" w:rsidP="00ED1EB2">
      <w:pPr>
        <w:pStyle w:val="af1"/>
        <w:numPr>
          <w:ilvl w:val="0"/>
          <w:numId w:val="1"/>
        </w:numPr>
        <w:spacing w:line="360" w:lineRule="auto"/>
        <w:ind w:firstLineChars="0"/>
        <w:rPr>
          <w:rFonts w:asciiTheme="minorEastAsia" w:eastAsiaTheme="minorEastAsia" w:hAnsiTheme="minorEastAsia"/>
          <w:b/>
          <w:sz w:val="24"/>
          <w:szCs w:val="24"/>
        </w:rPr>
      </w:pPr>
      <w:r>
        <w:rPr>
          <w:rFonts w:asciiTheme="minorEastAsia" w:eastAsiaTheme="minorEastAsia" w:hAnsiTheme="minorEastAsia" w:hint="eastAsia"/>
          <w:sz w:val="24"/>
          <w:szCs w:val="24"/>
        </w:rPr>
        <w:t>是否</w:t>
      </w:r>
      <w:r>
        <w:rPr>
          <w:rFonts w:asciiTheme="minorEastAsia" w:eastAsiaTheme="minorEastAsia" w:hAnsiTheme="minorEastAsia"/>
          <w:sz w:val="24"/>
          <w:szCs w:val="24"/>
        </w:rPr>
        <w:t>有</w:t>
      </w:r>
      <w:r>
        <w:rPr>
          <w:rFonts w:asciiTheme="minorEastAsia" w:eastAsiaTheme="minorEastAsia" w:hAnsiTheme="minorEastAsia" w:hint="eastAsia"/>
          <w:sz w:val="24"/>
          <w:szCs w:val="24"/>
        </w:rPr>
        <w:t>反</w:t>
      </w:r>
      <w:r>
        <w:rPr>
          <w:rFonts w:asciiTheme="minorEastAsia" w:eastAsiaTheme="minorEastAsia" w:hAnsiTheme="minorEastAsia"/>
          <w:sz w:val="24"/>
          <w:szCs w:val="24"/>
        </w:rPr>
        <w:t>担保：</w:t>
      </w:r>
      <w:proofErr w:type="gramStart"/>
      <w:r w:rsidR="002F73E7">
        <w:rPr>
          <w:rFonts w:asciiTheme="minorEastAsia" w:eastAsiaTheme="minorEastAsia" w:hAnsiTheme="minorEastAsia" w:hint="eastAsia"/>
          <w:color w:val="000000" w:themeColor="text1"/>
          <w:sz w:val="24"/>
          <w:szCs w:val="24"/>
        </w:rPr>
        <w:t>否</w:t>
      </w:r>
      <w:proofErr w:type="gramEnd"/>
    </w:p>
    <w:p w:rsidR="00E64872" w:rsidRDefault="00A92DCB">
      <w:pPr>
        <w:pStyle w:val="af0"/>
        <w:numPr>
          <w:ilvl w:val="0"/>
          <w:numId w:val="1"/>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对外担保</w:t>
      </w:r>
      <w:r>
        <w:rPr>
          <w:rFonts w:asciiTheme="minorEastAsia" w:eastAsiaTheme="minorEastAsia" w:hAnsiTheme="minorEastAsia"/>
          <w:sz w:val="24"/>
          <w:szCs w:val="24"/>
        </w:rPr>
        <w:t>逾期</w:t>
      </w:r>
      <w:r>
        <w:rPr>
          <w:rFonts w:asciiTheme="minorEastAsia" w:eastAsiaTheme="minorEastAsia" w:hAnsiTheme="minorEastAsia" w:hint="eastAsia"/>
          <w:sz w:val="24"/>
          <w:szCs w:val="24"/>
        </w:rPr>
        <w:t>累计</w:t>
      </w:r>
      <w:r>
        <w:rPr>
          <w:rFonts w:asciiTheme="minorEastAsia" w:eastAsiaTheme="minorEastAsia" w:hAnsiTheme="minorEastAsia"/>
          <w:sz w:val="24"/>
          <w:szCs w:val="24"/>
        </w:rPr>
        <w:t>数量：</w:t>
      </w:r>
      <w:r>
        <w:rPr>
          <w:rFonts w:asciiTheme="minorEastAsia" w:eastAsiaTheme="minorEastAsia" w:hAnsiTheme="minorEastAsia" w:hint="eastAsia"/>
          <w:sz w:val="24"/>
          <w:szCs w:val="24"/>
        </w:rPr>
        <w:t>无对外担保逾期的情形。</w:t>
      </w:r>
    </w:p>
    <w:p w:rsidR="00E64872" w:rsidRDefault="00E64872">
      <w:pPr>
        <w:pStyle w:val="af1"/>
        <w:spacing w:line="360" w:lineRule="auto"/>
        <w:ind w:left="900" w:firstLineChars="0" w:firstLine="0"/>
        <w:rPr>
          <w:rFonts w:asciiTheme="minorEastAsia" w:eastAsiaTheme="minorEastAsia" w:hAnsiTheme="minorEastAsia"/>
          <w:b/>
          <w:sz w:val="24"/>
          <w:szCs w:val="24"/>
        </w:rPr>
      </w:pPr>
    </w:p>
    <w:p w:rsidR="00E64872" w:rsidRDefault="00A92DCB">
      <w:pPr>
        <w:pStyle w:val="af0"/>
        <w:numPr>
          <w:ilvl w:val="0"/>
          <w:numId w:val="2"/>
        </w:num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担保情况概述</w:t>
      </w:r>
    </w:p>
    <w:p w:rsidR="00E64872" w:rsidRPr="00EB4E1F" w:rsidRDefault="00A92DCB" w:rsidP="00C732A8">
      <w:pPr>
        <w:pStyle w:val="af0"/>
        <w:numPr>
          <w:ilvl w:val="0"/>
          <w:numId w:val="4"/>
        </w:numPr>
        <w:spacing w:line="360" w:lineRule="auto"/>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基本情况</w:t>
      </w:r>
    </w:p>
    <w:p w:rsidR="00ED1EB2" w:rsidRDefault="00ED1EB2" w:rsidP="00C732A8">
      <w:pPr>
        <w:pStyle w:val="af0"/>
        <w:spacing w:line="360" w:lineRule="auto"/>
        <w:ind w:left="240" w:firstLineChars="200" w:firstLine="480"/>
        <w:rPr>
          <w:rFonts w:asciiTheme="minorEastAsia" w:eastAsiaTheme="minorEastAsia" w:hAnsiTheme="minorEastAsia"/>
          <w:sz w:val="24"/>
          <w:szCs w:val="24"/>
        </w:rPr>
      </w:pPr>
      <w:r w:rsidRPr="00ED1EB2">
        <w:rPr>
          <w:rFonts w:asciiTheme="minorEastAsia" w:eastAsiaTheme="minorEastAsia" w:hAnsiTheme="minorEastAsia" w:hint="eastAsia"/>
          <w:sz w:val="24"/>
          <w:szCs w:val="24"/>
        </w:rPr>
        <w:t>山东步长制药股份有限公司（以下简称“公司”）</w:t>
      </w:r>
      <w:r w:rsidR="00C732A8">
        <w:rPr>
          <w:rFonts w:asciiTheme="minorEastAsia" w:eastAsiaTheme="minorEastAsia" w:hAnsiTheme="minorEastAsia" w:hint="eastAsia"/>
          <w:sz w:val="24"/>
          <w:szCs w:val="24"/>
        </w:rPr>
        <w:t>控股子公司浙江天元生物药业有限公司（以下简称“浙江天元”）</w:t>
      </w:r>
      <w:r w:rsidRPr="00ED1EB2">
        <w:rPr>
          <w:rFonts w:asciiTheme="minorEastAsia" w:eastAsiaTheme="minorEastAsia" w:hAnsiTheme="minorEastAsia" w:hint="eastAsia"/>
          <w:sz w:val="24"/>
          <w:szCs w:val="24"/>
        </w:rPr>
        <w:t>与</w:t>
      </w:r>
      <w:r w:rsidR="00C732A8">
        <w:rPr>
          <w:rFonts w:asciiTheme="minorEastAsia" w:eastAsiaTheme="minorEastAsia" w:hAnsiTheme="minorEastAsia" w:hint="eastAsia"/>
          <w:sz w:val="24"/>
          <w:szCs w:val="24"/>
        </w:rPr>
        <w:t>浙江杭州余杭农村商业银行股份有限公司</w:t>
      </w:r>
      <w:r w:rsidRPr="00ED1EB2">
        <w:rPr>
          <w:rFonts w:asciiTheme="minorEastAsia" w:eastAsiaTheme="minorEastAsia" w:hAnsiTheme="minorEastAsia" w:hint="eastAsia"/>
          <w:sz w:val="24"/>
          <w:szCs w:val="24"/>
        </w:rPr>
        <w:t>（以下简称“</w:t>
      </w:r>
      <w:r w:rsidR="00C732A8" w:rsidRPr="00C732A8">
        <w:rPr>
          <w:rFonts w:asciiTheme="minorEastAsia" w:eastAsiaTheme="minorEastAsia" w:hAnsiTheme="minorEastAsia" w:hint="eastAsia"/>
          <w:sz w:val="24"/>
          <w:szCs w:val="24"/>
        </w:rPr>
        <w:t>余杭农村商业银行</w:t>
      </w:r>
      <w:r w:rsidRPr="00ED1EB2">
        <w:rPr>
          <w:rFonts w:asciiTheme="minorEastAsia" w:eastAsiaTheme="minorEastAsia" w:hAnsiTheme="minorEastAsia" w:hint="eastAsia"/>
          <w:sz w:val="24"/>
          <w:szCs w:val="24"/>
        </w:rPr>
        <w:t>”）签订</w:t>
      </w:r>
      <w:r w:rsidR="00C732A8">
        <w:rPr>
          <w:rFonts w:asciiTheme="minorEastAsia" w:eastAsiaTheme="minorEastAsia" w:hAnsiTheme="minorEastAsia" w:hint="eastAsia"/>
          <w:sz w:val="24"/>
          <w:szCs w:val="24"/>
        </w:rPr>
        <w:t>《流动资金信用借款合同》，向</w:t>
      </w:r>
      <w:r w:rsidR="00C732A8" w:rsidRPr="00C732A8">
        <w:rPr>
          <w:rFonts w:asciiTheme="minorEastAsia" w:eastAsiaTheme="minorEastAsia" w:hAnsiTheme="minorEastAsia" w:hint="eastAsia"/>
          <w:sz w:val="24"/>
          <w:szCs w:val="24"/>
        </w:rPr>
        <w:t>余杭农村商业银行</w:t>
      </w:r>
      <w:r w:rsidR="00C732A8">
        <w:rPr>
          <w:rFonts w:asciiTheme="minorEastAsia" w:eastAsiaTheme="minorEastAsia" w:hAnsiTheme="minorEastAsia" w:hint="eastAsia"/>
          <w:sz w:val="24"/>
          <w:szCs w:val="24"/>
        </w:rPr>
        <w:t>申请借款1</w:t>
      </w:r>
      <w:r w:rsidR="00C732A8">
        <w:rPr>
          <w:rFonts w:asciiTheme="minorEastAsia" w:eastAsiaTheme="minorEastAsia" w:hAnsiTheme="minorEastAsia"/>
          <w:sz w:val="24"/>
          <w:szCs w:val="24"/>
        </w:rPr>
        <w:t>,000</w:t>
      </w:r>
      <w:r w:rsidR="00C732A8">
        <w:rPr>
          <w:rFonts w:asciiTheme="minorEastAsia" w:eastAsiaTheme="minorEastAsia" w:hAnsiTheme="minorEastAsia" w:hint="eastAsia"/>
          <w:sz w:val="24"/>
          <w:szCs w:val="24"/>
        </w:rPr>
        <w:t>万元，借款期限自2</w:t>
      </w:r>
      <w:r w:rsidR="00C732A8">
        <w:rPr>
          <w:rFonts w:asciiTheme="minorEastAsia" w:eastAsiaTheme="minorEastAsia" w:hAnsiTheme="minorEastAsia"/>
          <w:sz w:val="24"/>
          <w:szCs w:val="24"/>
        </w:rPr>
        <w:t>024</w:t>
      </w:r>
      <w:r w:rsidR="00C732A8">
        <w:rPr>
          <w:rFonts w:asciiTheme="minorEastAsia" w:eastAsiaTheme="minorEastAsia" w:hAnsiTheme="minorEastAsia" w:hint="eastAsia"/>
          <w:sz w:val="24"/>
          <w:szCs w:val="24"/>
        </w:rPr>
        <w:t>年</w:t>
      </w:r>
      <w:r w:rsidR="0065538B">
        <w:rPr>
          <w:rFonts w:asciiTheme="minorEastAsia" w:eastAsiaTheme="minorEastAsia" w:hAnsiTheme="minorEastAsia" w:hint="eastAsia"/>
          <w:sz w:val="24"/>
          <w:szCs w:val="24"/>
        </w:rPr>
        <w:t>3月2</w:t>
      </w:r>
      <w:r w:rsidR="0065538B">
        <w:rPr>
          <w:rFonts w:asciiTheme="minorEastAsia" w:eastAsiaTheme="minorEastAsia" w:hAnsiTheme="minorEastAsia"/>
          <w:sz w:val="24"/>
          <w:szCs w:val="24"/>
        </w:rPr>
        <w:t>1</w:t>
      </w:r>
      <w:r w:rsidR="00C732A8">
        <w:rPr>
          <w:rFonts w:asciiTheme="minorEastAsia" w:eastAsiaTheme="minorEastAsia" w:hAnsiTheme="minorEastAsia" w:hint="eastAsia"/>
          <w:sz w:val="24"/>
          <w:szCs w:val="24"/>
        </w:rPr>
        <w:t>日至2</w:t>
      </w:r>
      <w:r w:rsidR="00C732A8">
        <w:rPr>
          <w:rFonts w:asciiTheme="minorEastAsia" w:eastAsiaTheme="minorEastAsia" w:hAnsiTheme="minorEastAsia"/>
          <w:sz w:val="24"/>
          <w:szCs w:val="24"/>
        </w:rPr>
        <w:t>027</w:t>
      </w:r>
      <w:r w:rsidR="00C732A8">
        <w:rPr>
          <w:rFonts w:asciiTheme="minorEastAsia" w:eastAsiaTheme="minorEastAsia" w:hAnsiTheme="minorEastAsia" w:hint="eastAsia"/>
          <w:sz w:val="24"/>
          <w:szCs w:val="24"/>
        </w:rPr>
        <w:t>年</w:t>
      </w:r>
      <w:r w:rsidR="0065538B">
        <w:rPr>
          <w:rFonts w:asciiTheme="minorEastAsia" w:eastAsiaTheme="minorEastAsia" w:hAnsiTheme="minorEastAsia" w:hint="eastAsia"/>
          <w:sz w:val="24"/>
          <w:szCs w:val="24"/>
        </w:rPr>
        <w:t>3</w:t>
      </w:r>
      <w:r w:rsidR="00C732A8">
        <w:rPr>
          <w:rFonts w:asciiTheme="minorEastAsia" w:eastAsiaTheme="minorEastAsia" w:hAnsiTheme="minorEastAsia" w:hint="eastAsia"/>
          <w:sz w:val="24"/>
          <w:szCs w:val="24"/>
        </w:rPr>
        <w:t>月</w:t>
      </w:r>
      <w:r w:rsidR="0065538B">
        <w:rPr>
          <w:rFonts w:asciiTheme="minorEastAsia" w:eastAsiaTheme="minorEastAsia" w:hAnsiTheme="minorEastAsia" w:hint="eastAsia"/>
          <w:sz w:val="24"/>
          <w:szCs w:val="24"/>
        </w:rPr>
        <w:t>2</w:t>
      </w:r>
      <w:r w:rsidR="0065538B">
        <w:rPr>
          <w:rFonts w:asciiTheme="minorEastAsia" w:eastAsiaTheme="minorEastAsia" w:hAnsiTheme="minorEastAsia"/>
          <w:sz w:val="24"/>
          <w:szCs w:val="24"/>
        </w:rPr>
        <w:t>0</w:t>
      </w:r>
      <w:r w:rsidR="00C732A8">
        <w:rPr>
          <w:rFonts w:asciiTheme="minorEastAsia" w:eastAsiaTheme="minorEastAsia" w:hAnsiTheme="minorEastAsia" w:hint="eastAsia"/>
          <w:sz w:val="24"/>
          <w:szCs w:val="24"/>
        </w:rPr>
        <w:t>日，公司控股子公司浙江华派生物医药有限公司（以下简称“浙江华派”）与</w:t>
      </w:r>
      <w:r w:rsidR="00C732A8" w:rsidRPr="00C732A8">
        <w:rPr>
          <w:rFonts w:asciiTheme="minorEastAsia" w:eastAsiaTheme="minorEastAsia" w:hAnsiTheme="minorEastAsia" w:hint="eastAsia"/>
          <w:sz w:val="24"/>
          <w:szCs w:val="24"/>
        </w:rPr>
        <w:t>余杭农村商业银行</w:t>
      </w:r>
      <w:r w:rsidR="00C732A8">
        <w:rPr>
          <w:rFonts w:asciiTheme="minorEastAsia" w:eastAsiaTheme="minorEastAsia" w:hAnsiTheme="minorEastAsia" w:hint="eastAsia"/>
          <w:sz w:val="24"/>
          <w:szCs w:val="24"/>
        </w:rPr>
        <w:t>签订</w:t>
      </w:r>
      <w:r w:rsidRPr="00ED1EB2">
        <w:rPr>
          <w:rFonts w:asciiTheme="minorEastAsia" w:eastAsiaTheme="minorEastAsia" w:hAnsiTheme="minorEastAsia" w:hint="eastAsia"/>
          <w:sz w:val="24"/>
          <w:szCs w:val="24"/>
        </w:rPr>
        <w:t>《</w:t>
      </w:r>
      <w:r w:rsidR="00C732A8">
        <w:rPr>
          <w:rFonts w:asciiTheme="minorEastAsia" w:eastAsiaTheme="minorEastAsia" w:hAnsiTheme="minorEastAsia" w:hint="eastAsia"/>
          <w:sz w:val="24"/>
          <w:szCs w:val="24"/>
        </w:rPr>
        <w:t>共同还款承诺书</w:t>
      </w:r>
      <w:r w:rsidRPr="00ED1EB2">
        <w:rPr>
          <w:rFonts w:asciiTheme="minorEastAsia" w:eastAsiaTheme="minorEastAsia" w:hAnsiTheme="minorEastAsia" w:hint="eastAsia"/>
          <w:sz w:val="24"/>
          <w:szCs w:val="24"/>
        </w:rPr>
        <w:t>》，</w:t>
      </w:r>
      <w:r w:rsidR="00C732A8">
        <w:rPr>
          <w:rFonts w:asciiTheme="minorEastAsia" w:eastAsiaTheme="minorEastAsia" w:hAnsiTheme="minorEastAsia" w:hint="eastAsia"/>
          <w:sz w:val="24"/>
          <w:szCs w:val="24"/>
        </w:rPr>
        <w:t>承诺对上述借款承担共同还款责任。上述承诺构成公司对外担保。</w:t>
      </w:r>
    </w:p>
    <w:p w:rsidR="00E64872" w:rsidRPr="00EB4E1F" w:rsidRDefault="00A92DCB">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lastRenderedPageBreak/>
        <w:t>（二）履行的内部审议程序</w:t>
      </w:r>
    </w:p>
    <w:p w:rsidR="002F73E7" w:rsidRPr="002F73E7" w:rsidRDefault="00A92DCB" w:rsidP="00EB4E1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年4月27日召开</w:t>
      </w:r>
      <w:r w:rsidR="002F73E7" w:rsidRPr="002F73E7">
        <w:rPr>
          <w:rFonts w:asciiTheme="minorEastAsia" w:eastAsiaTheme="minorEastAsia" w:hAnsiTheme="minorEastAsia" w:hint="eastAsia"/>
          <w:sz w:val="24"/>
          <w:szCs w:val="24"/>
        </w:rPr>
        <w:t>第四届董事会第三十五次（年度）会议</w:t>
      </w:r>
      <w:r>
        <w:rPr>
          <w:rFonts w:asciiTheme="minorEastAsia" w:eastAsiaTheme="minorEastAsia" w:hAnsiTheme="minorEastAsia" w:hint="eastAsia"/>
          <w:sz w:val="24"/>
          <w:szCs w:val="24"/>
        </w:rPr>
        <w:t>，于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年6月28日召开</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年年度股东大会，审议通过了《</w:t>
      </w:r>
      <w:r w:rsidR="002F73E7" w:rsidRPr="002F73E7">
        <w:rPr>
          <w:rFonts w:asciiTheme="minorEastAsia" w:eastAsiaTheme="minorEastAsia" w:hAnsiTheme="minorEastAsia" w:hint="eastAsia"/>
          <w:sz w:val="24"/>
          <w:szCs w:val="24"/>
        </w:rPr>
        <w:t>关于审议公司及控股子公司</w:t>
      </w:r>
      <w:r w:rsidR="002F73E7">
        <w:rPr>
          <w:rFonts w:asciiTheme="minorEastAsia" w:eastAsiaTheme="minorEastAsia" w:hAnsiTheme="minorEastAsia" w:hint="eastAsia"/>
          <w:sz w:val="24"/>
          <w:szCs w:val="24"/>
        </w:rPr>
        <w:t>2023</w:t>
      </w:r>
      <w:r w:rsidR="002F73E7" w:rsidRPr="002F73E7">
        <w:rPr>
          <w:rFonts w:asciiTheme="minorEastAsia" w:eastAsiaTheme="minorEastAsia" w:hAnsiTheme="minorEastAsia" w:hint="eastAsia"/>
          <w:sz w:val="24"/>
          <w:szCs w:val="24"/>
        </w:rPr>
        <w:t>年度预计新增融资额度及担保额度的议案</w:t>
      </w:r>
      <w:r>
        <w:rPr>
          <w:rFonts w:asciiTheme="minorEastAsia" w:eastAsiaTheme="minorEastAsia" w:hAnsiTheme="minorEastAsia" w:hint="eastAsia"/>
          <w:sz w:val="24"/>
          <w:szCs w:val="24"/>
        </w:rPr>
        <w:t>》，同意</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年度</w:t>
      </w:r>
      <w:r w:rsidR="002F73E7">
        <w:rPr>
          <w:rFonts w:asciiTheme="minorEastAsia" w:eastAsiaTheme="minorEastAsia" w:hAnsiTheme="minorEastAsia" w:hint="eastAsia"/>
          <w:sz w:val="24"/>
          <w:szCs w:val="24"/>
        </w:rPr>
        <w:t>公司</w:t>
      </w:r>
      <w:r w:rsidR="002F73E7" w:rsidRPr="002F73E7">
        <w:rPr>
          <w:rFonts w:asciiTheme="minorEastAsia" w:eastAsiaTheme="minorEastAsia" w:hAnsiTheme="minorEastAsia" w:hint="eastAsia"/>
          <w:sz w:val="24"/>
          <w:szCs w:val="24"/>
        </w:rPr>
        <w:t>及下属控股子公司拟向金融机构申请授信总额不超过人民币</w:t>
      </w:r>
      <w:r w:rsidR="002F73E7">
        <w:rPr>
          <w:rFonts w:asciiTheme="minorEastAsia" w:eastAsiaTheme="minorEastAsia" w:hAnsiTheme="minorEastAsia" w:hint="eastAsia"/>
          <w:sz w:val="24"/>
          <w:szCs w:val="24"/>
        </w:rPr>
        <w:t>86.60</w:t>
      </w:r>
      <w:r w:rsidR="002F73E7" w:rsidRPr="002F73E7">
        <w:rPr>
          <w:rFonts w:asciiTheme="minorEastAsia" w:eastAsiaTheme="minorEastAsia" w:hAnsiTheme="minorEastAsia" w:hint="eastAsia"/>
          <w:sz w:val="24"/>
          <w:szCs w:val="24"/>
        </w:rPr>
        <w:t>亿元的综合融资额度</w:t>
      </w:r>
      <w:r w:rsidR="002F73E7">
        <w:rPr>
          <w:rFonts w:asciiTheme="minorEastAsia" w:eastAsiaTheme="minorEastAsia" w:hAnsiTheme="minorEastAsia" w:hint="eastAsia"/>
          <w:sz w:val="24"/>
          <w:szCs w:val="24"/>
        </w:rPr>
        <w:t>。</w:t>
      </w:r>
      <w:r w:rsidR="002F73E7" w:rsidRPr="002F73E7">
        <w:rPr>
          <w:rFonts w:asciiTheme="minorEastAsia" w:eastAsiaTheme="minorEastAsia" w:hAnsiTheme="minorEastAsia" w:hint="eastAsia"/>
          <w:sz w:val="24"/>
          <w:szCs w:val="24"/>
        </w:rPr>
        <w:t>上述融资事项如需采用保证或抵押等担保方式，担保额度不超过</w:t>
      </w:r>
      <w:r w:rsidR="002F73E7">
        <w:rPr>
          <w:rFonts w:asciiTheme="minorEastAsia" w:eastAsiaTheme="minorEastAsia" w:hAnsiTheme="minorEastAsia" w:hint="eastAsia"/>
          <w:sz w:val="24"/>
          <w:szCs w:val="24"/>
        </w:rPr>
        <w:t>86.60</w:t>
      </w:r>
      <w:r w:rsidR="002F73E7" w:rsidRPr="002F73E7">
        <w:rPr>
          <w:rFonts w:asciiTheme="minorEastAsia" w:eastAsiaTheme="minorEastAsia" w:hAnsiTheme="minorEastAsia" w:hint="eastAsia"/>
          <w:sz w:val="24"/>
          <w:szCs w:val="24"/>
        </w:rPr>
        <w:t>亿元人民币，</w:t>
      </w:r>
      <w:r w:rsidR="00EB4E1F">
        <w:rPr>
          <w:rFonts w:asciiTheme="minorEastAsia" w:eastAsiaTheme="minorEastAsia" w:hAnsiTheme="minorEastAsia" w:hint="eastAsia"/>
          <w:sz w:val="24"/>
          <w:szCs w:val="24"/>
        </w:rPr>
        <w:t>其中，对本公司</w:t>
      </w:r>
      <w:r w:rsidR="00EB4E1F" w:rsidRPr="00EB4E1F">
        <w:rPr>
          <w:rFonts w:asciiTheme="minorEastAsia" w:eastAsiaTheme="minorEastAsia" w:hAnsiTheme="minorEastAsia" w:hint="eastAsia"/>
          <w:sz w:val="24"/>
          <w:szCs w:val="24"/>
        </w:rPr>
        <w:t>新增担保额度为</w:t>
      </w:r>
      <w:r w:rsidR="00EB4E1F" w:rsidRPr="00EB4E1F">
        <w:rPr>
          <w:rFonts w:asciiTheme="minorEastAsia" w:eastAsiaTheme="minorEastAsia" w:hAnsiTheme="minorEastAsia"/>
          <w:sz w:val="24"/>
          <w:szCs w:val="24"/>
        </w:rPr>
        <w:t>280,000.00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，对资产负债率为</w:t>
      </w:r>
      <w:r w:rsidR="00EB4E1F" w:rsidRPr="00EB4E1F">
        <w:rPr>
          <w:rFonts w:asciiTheme="minorEastAsia" w:eastAsiaTheme="minorEastAsia" w:hAnsiTheme="minorEastAsia" w:hint="eastAsia"/>
          <w:sz w:val="24"/>
          <w:szCs w:val="24"/>
        </w:rPr>
        <w:t>70%以上的控股子公司新增担保额度为</w:t>
      </w:r>
      <w:r w:rsidR="00EB4E1F" w:rsidRPr="00EB4E1F">
        <w:rPr>
          <w:rFonts w:asciiTheme="minorEastAsia" w:eastAsiaTheme="minorEastAsia" w:hAnsiTheme="minorEastAsia"/>
          <w:sz w:val="24"/>
          <w:szCs w:val="24"/>
        </w:rPr>
        <w:t>286,000.00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，对资产负债率为</w:t>
      </w:r>
      <w:r w:rsidR="00EB4E1F" w:rsidRPr="00EB4E1F">
        <w:rPr>
          <w:rFonts w:asciiTheme="minorEastAsia" w:eastAsiaTheme="minorEastAsia" w:hAnsiTheme="minorEastAsia" w:hint="eastAsia"/>
          <w:sz w:val="24"/>
          <w:szCs w:val="24"/>
        </w:rPr>
        <w:t>70%</w:t>
      </w:r>
      <w:r w:rsidR="00EB4E1F">
        <w:rPr>
          <w:rFonts w:asciiTheme="minorEastAsia" w:eastAsiaTheme="minorEastAsia" w:hAnsiTheme="minorEastAsia" w:hint="eastAsia"/>
          <w:sz w:val="24"/>
          <w:szCs w:val="24"/>
        </w:rPr>
        <w:t>以下</w:t>
      </w:r>
      <w:r w:rsidR="00EB4E1F" w:rsidRPr="00EB4E1F">
        <w:rPr>
          <w:rFonts w:asciiTheme="minorEastAsia" w:eastAsiaTheme="minorEastAsia" w:hAnsiTheme="minorEastAsia" w:hint="eastAsia"/>
          <w:sz w:val="24"/>
          <w:szCs w:val="24"/>
        </w:rPr>
        <w:t>的控股子公司新增担保额度为</w:t>
      </w:r>
      <w:r w:rsidR="00EB4E1F" w:rsidRPr="00EB4E1F">
        <w:rPr>
          <w:rFonts w:asciiTheme="minorEastAsia" w:eastAsiaTheme="minorEastAsia" w:hAnsiTheme="minorEastAsia"/>
          <w:sz w:val="24"/>
          <w:szCs w:val="24"/>
        </w:rPr>
        <w:t>300,000.00</w:t>
      </w:r>
      <w:r w:rsidR="00EB4E1F">
        <w:rPr>
          <w:rFonts w:asciiTheme="minorEastAsia" w:eastAsiaTheme="minorEastAsia" w:hAnsiTheme="minorEastAsia" w:hint="eastAsia"/>
          <w:sz w:val="24"/>
          <w:szCs w:val="24"/>
        </w:rPr>
        <w:t>万</w:t>
      </w:r>
      <w:r w:rsidR="00EB4E1F" w:rsidRPr="00EB4E1F">
        <w:rPr>
          <w:rFonts w:asciiTheme="minorEastAsia" w:eastAsiaTheme="minorEastAsia" w:hAnsiTheme="minorEastAsia" w:hint="eastAsia"/>
          <w:sz w:val="24"/>
          <w:szCs w:val="24"/>
        </w:rPr>
        <w:t>元人民币</w:t>
      </w:r>
      <w:r w:rsidR="00EB4E1F">
        <w:rPr>
          <w:rFonts w:asciiTheme="minorEastAsia" w:eastAsiaTheme="minorEastAsia" w:hAnsiTheme="minorEastAsia" w:hint="eastAsia"/>
          <w:sz w:val="24"/>
          <w:szCs w:val="24"/>
        </w:rPr>
        <w:t>。</w:t>
      </w:r>
      <w:r w:rsidR="002F73E7" w:rsidRPr="002F73E7">
        <w:rPr>
          <w:rFonts w:asciiTheme="minorEastAsia" w:eastAsiaTheme="minorEastAsia" w:hAnsiTheme="minorEastAsia" w:hint="eastAsia"/>
          <w:sz w:val="24"/>
          <w:szCs w:val="24"/>
        </w:rPr>
        <w:t>实际担保的金额在总担保额度内，以金融机构与公司及控股子公司实际发生的担保金额为准。在年度预计额度内，各下属控股子公司的担保额度可按照实际情况内部调剂使用，调剂发生时资产负债率为70%以上的子公司仅能从股东大会审议时资产负债率为70%以上的子公司处获得担保额度。</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具体内容详见公司于</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年4月28日和</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年6月29日披露于上海证券交易所网站（www.sse.com.cn）的《关于公司及控股子公司</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Pr>
          <w:rFonts w:asciiTheme="minorEastAsia" w:eastAsiaTheme="minorEastAsia" w:hAnsiTheme="minorEastAsia" w:hint="eastAsia"/>
          <w:sz w:val="24"/>
          <w:szCs w:val="24"/>
        </w:rPr>
        <w:t>年度预计新增融资额度及担保额度的公告》（公告编号：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-0</w:t>
      </w:r>
      <w:r w:rsidR="002F73E7">
        <w:rPr>
          <w:rFonts w:asciiTheme="minorEastAsia" w:eastAsiaTheme="minorEastAsia" w:hAnsiTheme="minorEastAsia"/>
          <w:sz w:val="24"/>
          <w:szCs w:val="24"/>
        </w:rPr>
        <w:t>68</w:t>
      </w:r>
      <w:r>
        <w:rPr>
          <w:rFonts w:asciiTheme="minorEastAsia" w:eastAsiaTheme="minorEastAsia" w:hAnsiTheme="minorEastAsia" w:hint="eastAsia"/>
          <w:sz w:val="24"/>
          <w:szCs w:val="24"/>
        </w:rPr>
        <w:t>）、《第四届董事会第</w:t>
      </w:r>
      <w:r w:rsidR="002F73E7">
        <w:rPr>
          <w:rFonts w:asciiTheme="minorEastAsia" w:eastAsiaTheme="minorEastAsia" w:hAnsiTheme="minorEastAsia" w:hint="eastAsia"/>
          <w:sz w:val="24"/>
          <w:szCs w:val="24"/>
        </w:rPr>
        <w:t>三十五</w:t>
      </w:r>
      <w:r>
        <w:rPr>
          <w:rFonts w:asciiTheme="minorEastAsia" w:eastAsiaTheme="minorEastAsia" w:hAnsiTheme="minorEastAsia" w:hint="eastAsia"/>
          <w:sz w:val="24"/>
          <w:szCs w:val="24"/>
        </w:rPr>
        <w:t>次（年度）会议决议公告》（公告编号：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-0</w:t>
      </w:r>
      <w:r w:rsidR="002F73E7">
        <w:rPr>
          <w:rFonts w:asciiTheme="minorEastAsia" w:eastAsiaTheme="minorEastAsia" w:hAnsiTheme="minorEastAsia"/>
          <w:sz w:val="24"/>
          <w:szCs w:val="24"/>
        </w:rPr>
        <w:t>61</w:t>
      </w:r>
      <w:r>
        <w:rPr>
          <w:rFonts w:asciiTheme="minorEastAsia" w:eastAsiaTheme="minorEastAsia" w:hAnsiTheme="minorEastAsia" w:hint="eastAsia"/>
          <w:sz w:val="24"/>
          <w:szCs w:val="24"/>
        </w:rPr>
        <w:t>）、《</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年年度股东大会决议公告》（公告编号：</w:t>
      </w:r>
      <w:r w:rsidR="002F73E7">
        <w:rPr>
          <w:rFonts w:asciiTheme="minorEastAsia" w:eastAsiaTheme="minorEastAsia" w:hAnsiTheme="minorEastAsia" w:hint="eastAsia"/>
          <w:sz w:val="24"/>
          <w:szCs w:val="24"/>
        </w:rPr>
        <w:t>202</w:t>
      </w:r>
      <w:r w:rsidR="002F73E7">
        <w:rPr>
          <w:rFonts w:asciiTheme="minorEastAsia" w:eastAsiaTheme="minorEastAsia" w:hAnsiTheme="minorEastAsia"/>
          <w:sz w:val="24"/>
          <w:szCs w:val="24"/>
        </w:rPr>
        <w:t>3</w:t>
      </w:r>
      <w:r w:rsidR="002F73E7">
        <w:rPr>
          <w:rFonts w:asciiTheme="minorEastAsia" w:eastAsiaTheme="minorEastAsia" w:hAnsiTheme="minorEastAsia" w:hint="eastAsia"/>
          <w:sz w:val="24"/>
          <w:szCs w:val="24"/>
        </w:rPr>
        <w:t>-1</w:t>
      </w:r>
      <w:r w:rsidR="002F73E7">
        <w:rPr>
          <w:rFonts w:asciiTheme="minorEastAsia" w:eastAsiaTheme="minorEastAsia" w:hAnsiTheme="minorEastAsia"/>
          <w:sz w:val="24"/>
          <w:szCs w:val="24"/>
        </w:rPr>
        <w:t>13</w:t>
      </w:r>
      <w:r>
        <w:rPr>
          <w:rFonts w:asciiTheme="minorEastAsia" w:eastAsiaTheme="minorEastAsia" w:hAnsiTheme="minorEastAsia" w:hint="eastAsia"/>
          <w:sz w:val="24"/>
          <w:szCs w:val="24"/>
        </w:rPr>
        <w:t>）。</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本次担保事项在前述授权额度范围内。</w:t>
      </w:r>
    </w:p>
    <w:p w:rsidR="00E64872" w:rsidRPr="002F73E7" w:rsidRDefault="00A92DCB">
      <w:pPr>
        <w:pStyle w:val="af0"/>
        <w:numPr>
          <w:ilvl w:val="0"/>
          <w:numId w:val="2"/>
        </w:numPr>
        <w:spacing w:line="360" w:lineRule="auto"/>
        <w:rPr>
          <w:rFonts w:asciiTheme="minorEastAsia" w:eastAsiaTheme="minorEastAsia" w:hAnsiTheme="minorEastAsia"/>
          <w:bCs/>
          <w:sz w:val="24"/>
          <w:szCs w:val="24"/>
        </w:rPr>
      </w:pPr>
      <w:r>
        <w:rPr>
          <w:rFonts w:asciiTheme="minorEastAsia" w:eastAsiaTheme="minorEastAsia" w:hAnsiTheme="minorEastAsia" w:hint="eastAsia"/>
          <w:b/>
          <w:sz w:val="24"/>
          <w:szCs w:val="24"/>
        </w:rPr>
        <w:t>被担保</w:t>
      </w:r>
      <w:r>
        <w:rPr>
          <w:rFonts w:asciiTheme="minorEastAsia" w:eastAsiaTheme="minorEastAsia" w:hAnsiTheme="minorEastAsia"/>
          <w:b/>
          <w:sz w:val="24"/>
          <w:szCs w:val="24"/>
        </w:rPr>
        <w:t>人基本情况</w:t>
      </w:r>
    </w:p>
    <w:p w:rsidR="002F73E7" w:rsidRPr="00EB4E1F" w:rsidRDefault="002F73E7" w:rsidP="002F73E7">
      <w:pPr>
        <w:pStyle w:val="af0"/>
        <w:spacing w:line="360" w:lineRule="auto"/>
        <w:ind w:left="482"/>
        <w:rPr>
          <w:rFonts w:asciiTheme="minorEastAsia" w:eastAsiaTheme="minorEastAsia" w:hAnsiTheme="minorEastAsia"/>
          <w:bCs/>
          <w:sz w:val="24"/>
          <w:szCs w:val="24"/>
        </w:rPr>
      </w:pPr>
      <w:r w:rsidRPr="00EB4E1F">
        <w:rPr>
          <w:rFonts w:asciiTheme="minorEastAsia" w:eastAsiaTheme="minorEastAsia" w:hAnsiTheme="minorEastAsia" w:hint="eastAsia"/>
          <w:sz w:val="24"/>
          <w:szCs w:val="24"/>
        </w:rPr>
        <w:t>（一）基本信息</w:t>
      </w:r>
    </w:p>
    <w:p w:rsidR="00651EBC" w:rsidRDefault="00651EBC">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名称：</w:t>
      </w:r>
      <w:r w:rsidR="00C732A8" w:rsidRPr="00C732A8">
        <w:rPr>
          <w:rFonts w:asciiTheme="minorEastAsia" w:eastAsiaTheme="minorEastAsia" w:hAnsiTheme="minorEastAsia" w:hint="eastAsia"/>
          <w:sz w:val="24"/>
          <w:szCs w:val="24"/>
        </w:rPr>
        <w:t>浙江天元生物药业有限公司</w:t>
      </w:r>
    </w:p>
    <w:p w:rsidR="00651EBC"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成立时间：</w:t>
      </w:r>
      <w:r w:rsidR="00E16643">
        <w:rPr>
          <w:rFonts w:asciiTheme="minorEastAsia" w:eastAsiaTheme="minorEastAsia" w:hAnsiTheme="minorEastAsia" w:hint="eastAsia"/>
          <w:sz w:val="24"/>
          <w:szCs w:val="24"/>
        </w:rPr>
        <w:t>1986</w:t>
      </w:r>
      <w:r w:rsidR="00C732A8" w:rsidRPr="00C732A8">
        <w:rPr>
          <w:rFonts w:asciiTheme="minorEastAsia" w:eastAsiaTheme="minorEastAsia" w:hAnsiTheme="minorEastAsia" w:hint="eastAsia"/>
          <w:sz w:val="24"/>
          <w:szCs w:val="24"/>
        </w:rPr>
        <w:t>年</w:t>
      </w:r>
      <w:r w:rsidR="00E16643">
        <w:rPr>
          <w:rFonts w:asciiTheme="minorEastAsia" w:eastAsiaTheme="minorEastAsia" w:hAnsiTheme="minorEastAsia" w:hint="eastAsia"/>
          <w:sz w:val="24"/>
          <w:szCs w:val="24"/>
        </w:rPr>
        <w:t>12</w:t>
      </w:r>
      <w:r w:rsidR="00C732A8" w:rsidRPr="00C732A8">
        <w:rPr>
          <w:rFonts w:asciiTheme="minorEastAsia" w:eastAsiaTheme="minorEastAsia" w:hAnsiTheme="minorEastAsia" w:hint="eastAsia"/>
          <w:sz w:val="24"/>
          <w:szCs w:val="24"/>
        </w:rPr>
        <w:t>月</w:t>
      </w:r>
      <w:r w:rsidR="00E16643">
        <w:rPr>
          <w:rFonts w:asciiTheme="minorEastAsia" w:eastAsiaTheme="minorEastAsia" w:hAnsiTheme="minorEastAsia" w:hint="eastAsia"/>
          <w:sz w:val="24"/>
          <w:szCs w:val="24"/>
        </w:rPr>
        <w:t>19</w:t>
      </w:r>
      <w:r w:rsidR="00C732A8" w:rsidRPr="00C732A8">
        <w:rPr>
          <w:rFonts w:asciiTheme="minorEastAsia" w:eastAsiaTheme="minorEastAsia" w:hAnsiTheme="minorEastAsia" w:hint="eastAsia"/>
          <w:sz w:val="24"/>
          <w:szCs w:val="24"/>
        </w:rPr>
        <w:t>日</w:t>
      </w:r>
    </w:p>
    <w:p w:rsidR="00CD0464"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法定代表人：</w:t>
      </w:r>
      <w:r w:rsidR="00C732A8" w:rsidRPr="00C732A8">
        <w:rPr>
          <w:rFonts w:asciiTheme="minorEastAsia" w:eastAsiaTheme="minorEastAsia" w:hAnsiTheme="minorEastAsia" w:hint="eastAsia"/>
          <w:sz w:val="24"/>
          <w:szCs w:val="24"/>
        </w:rPr>
        <w:t>张翊</w:t>
      </w:r>
    </w:p>
    <w:p w:rsidR="002D21E8"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注册资本：</w:t>
      </w:r>
      <w:r w:rsidR="00C732A8" w:rsidRPr="00C732A8">
        <w:rPr>
          <w:rFonts w:asciiTheme="minorEastAsia" w:eastAsiaTheme="minorEastAsia" w:hAnsiTheme="minorEastAsia" w:hint="eastAsia"/>
          <w:sz w:val="24"/>
          <w:szCs w:val="24"/>
        </w:rPr>
        <w:t>壹拾亿陆仟陆佰捌拾万元整</w:t>
      </w:r>
    </w:p>
    <w:p w:rsidR="00BB43D9" w:rsidRDefault="00651EBC">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住所：</w:t>
      </w:r>
      <w:r w:rsidR="00C732A8" w:rsidRPr="00C732A8">
        <w:rPr>
          <w:rFonts w:asciiTheme="minorEastAsia" w:eastAsiaTheme="minorEastAsia" w:hAnsiTheme="minorEastAsia" w:hint="eastAsia"/>
          <w:sz w:val="24"/>
          <w:szCs w:val="24"/>
        </w:rPr>
        <w:t>杭州市余杭经济</w:t>
      </w:r>
      <w:proofErr w:type="gramStart"/>
      <w:r w:rsidR="00C732A8" w:rsidRPr="00C732A8">
        <w:rPr>
          <w:rFonts w:asciiTheme="minorEastAsia" w:eastAsiaTheme="minorEastAsia" w:hAnsiTheme="minorEastAsia" w:hint="eastAsia"/>
          <w:sz w:val="24"/>
          <w:szCs w:val="24"/>
        </w:rPr>
        <w:t>开发区天荷路</w:t>
      </w:r>
      <w:proofErr w:type="gramEnd"/>
      <w:r w:rsidR="00C732A8">
        <w:rPr>
          <w:rFonts w:asciiTheme="minorEastAsia" w:eastAsiaTheme="minorEastAsia" w:hAnsiTheme="minorEastAsia" w:hint="eastAsia"/>
          <w:sz w:val="24"/>
          <w:szCs w:val="24"/>
        </w:rPr>
        <w:t>56</w:t>
      </w:r>
      <w:r w:rsidR="00C732A8" w:rsidRPr="00C732A8">
        <w:rPr>
          <w:rFonts w:asciiTheme="minorEastAsia" w:eastAsiaTheme="minorEastAsia" w:hAnsiTheme="minorEastAsia" w:hint="eastAsia"/>
          <w:sz w:val="24"/>
          <w:szCs w:val="24"/>
        </w:rPr>
        <w:t>号</w:t>
      </w:r>
    </w:p>
    <w:p w:rsidR="00C732A8" w:rsidRDefault="00651EBC" w:rsidP="00C732A8">
      <w:pPr>
        <w:pStyle w:val="af0"/>
        <w:spacing w:line="360" w:lineRule="auto"/>
        <w:ind w:firstLineChars="200" w:firstLine="480"/>
        <w:rPr>
          <w:rFonts w:asciiTheme="minorEastAsia" w:eastAsiaTheme="minorEastAsia" w:hAnsiTheme="minorEastAsia"/>
          <w:sz w:val="24"/>
          <w:szCs w:val="24"/>
        </w:rPr>
      </w:pPr>
      <w:r w:rsidRPr="00651EBC">
        <w:rPr>
          <w:rFonts w:asciiTheme="minorEastAsia" w:eastAsiaTheme="minorEastAsia" w:hAnsiTheme="minorEastAsia" w:hint="eastAsia"/>
          <w:sz w:val="24"/>
          <w:szCs w:val="24"/>
        </w:rPr>
        <w:t>经营范围</w:t>
      </w:r>
      <w:r w:rsidR="002D21E8">
        <w:rPr>
          <w:rFonts w:asciiTheme="minorEastAsia" w:eastAsiaTheme="minorEastAsia" w:hAnsiTheme="minorEastAsia" w:hint="eastAsia"/>
          <w:sz w:val="24"/>
          <w:szCs w:val="24"/>
        </w:rPr>
        <w:t>：</w:t>
      </w:r>
      <w:r w:rsidR="00C732A8" w:rsidRPr="00C732A8">
        <w:rPr>
          <w:rFonts w:asciiTheme="minorEastAsia" w:eastAsiaTheme="minorEastAsia" w:hAnsiTheme="minorEastAsia" w:hint="eastAsia"/>
          <w:sz w:val="24"/>
          <w:szCs w:val="24"/>
        </w:rPr>
        <w:t>药品生产（范围详见《中华人民共和国药品生产许可证》），体外诊断剂盒、疫苗（小容量注射剂）的开发，销售自产产品，生物药品开发，疫苗和生物药品相关产品的推广服务、咨询服务、研发服务和技术支持服务（不含诊疗业务），经营进出口业务（国家法律法规禁止或限制的项目除外）。（依法</w:t>
      </w:r>
      <w:r w:rsidR="00C732A8" w:rsidRPr="00C732A8">
        <w:rPr>
          <w:rFonts w:asciiTheme="minorEastAsia" w:eastAsiaTheme="minorEastAsia" w:hAnsiTheme="minorEastAsia" w:hint="eastAsia"/>
          <w:sz w:val="24"/>
          <w:szCs w:val="24"/>
        </w:rPr>
        <w:lastRenderedPageBreak/>
        <w:t>须经批准的项目，经相关部门批准后方可开展经营活动）</w:t>
      </w:r>
    </w:p>
    <w:p w:rsidR="002F73E7" w:rsidRPr="00EB4E1F" w:rsidRDefault="002F73E7" w:rsidP="00C732A8">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（二）股权结构及关联关系说明</w:t>
      </w:r>
    </w:p>
    <w:p w:rsidR="00C732A8" w:rsidRDefault="00C732A8" w:rsidP="00C732A8">
      <w:pPr>
        <w:pStyle w:val="af0"/>
        <w:spacing w:line="360" w:lineRule="auto"/>
        <w:ind w:firstLineChars="200" w:firstLine="480"/>
        <w:rPr>
          <w:rFonts w:asciiTheme="minorEastAsia" w:eastAsiaTheme="minorEastAsia" w:hAnsiTheme="minorEastAsia"/>
          <w:sz w:val="24"/>
          <w:szCs w:val="24"/>
        </w:rPr>
      </w:pPr>
      <w:r w:rsidRPr="00C732A8">
        <w:rPr>
          <w:rFonts w:asciiTheme="minorEastAsia" w:eastAsiaTheme="minorEastAsia" w:hAnsiTheme="minorEastAsia" w:hint="eastAsia"/>
          <w:sz w:val="24"/>
          <w:szCs w:val="24"/>
        </w:rPr>
        <w:t>浙江天元为公司控股子公司浙江华派的全资子公司。</w:t>
      </w:r>
    </w:p>
    <w:p w:rsidR="002F73E7" w:rsidRPr="00EB4E1F" w:rsidRDefault="002F73E7" w:rsidP="00C732A8">
      <w:pPr>
        <w:pStyle w:val="af0"/>
        <w:spacing w:line="360" w:lineRule="auto"/>
        <w:ind w:firstLineChars="200" w:firstLine="480"/>
        <w:rPr>
          <w:rFonts w:asciiTheme="minorEastAsia" w:eastAsiaTheme="minorEastAsia" w:hAnsiTheme="minorEastAsia"/>
          <w:sz w:val="24"/>
          <w:szCs w:val="24"/>
        </w:rPr>
      </w:pPr>
      <w:r w:rsidRPr="00EB4E1F">
        <w:rPr>
          <w:rFonts w:asciiTheme="minorEastAsia" w:eastAsiaTheme="minorEastAsia" w:hAnsiTheme="minorEastAsia" w:hint="eastAsia"/>
          <w:sz w:val="24"/>
          <w:szCs w:val="24"/>
        </w:rPr>
        <w:t>（三）主要财务数据</w:t>
      </w:r>
    </w:p>
    <w:p w:rsidR="00A44606" w:rsidRDefault="00C732A8" w:rsidP="004B6735">
      <w:pPr>
        <w:pStyle w:val="af0"/>
        <w:spacing w:line="360" w:lineRule="auto"/>
        <w:ind w:firstLineChars="200" w:firstLine="480"/>
        <w:rPr>
          <w:rFonts w:asciiTheme="minorEastAsia" w:eastAsiaTheme="minorEastAsia" w:hAnsiTheme="minorEastAsia"/>
          <w:sz w:val="24"/>
          <w:szCs w:val="24"/>
        </w:rPr>
      </w:pPr>
      <w:r w:rsidRPr="00C732A8">
        <w:rPr>
          <w:rFonts w:asciiTheme="minorEastAsia" w:eastAsiaTheme="minorEastAsia" w:hAnsiTheme="minorEastAsia" w:hint="eastAsia"/>
          <w:sz w:val="24"/>
          <w:szCs w:val="24"/>
        </w:rPr>
        <w:t>截至2022年12月31日，资产总额35,315.83万元，负债总额</w:t>
      </w:r>
      <w:r>
        <w:rPr>
          <w:rFonts w:asciiTheme="minorEastAsia" w:eastAsiaTheme="minorEastAsia" w:hAnsiTheme="minorEastAsia" w:hint="eastAsia"/>
          <w:sz w:val="24"/>
          <w:szCs w:val="24"/>
        </w:rPr>
        <w:t>52,358.73</w:t>
      </w:r>
      <w:r w:rsidRPr="00C732A8">
        <w:rPr>
          <w:rFonts w:asciiTheme="minorEastAsia" w:eastAsiaTheme="minorEastAsia" w:hAnsiTheme="minorEastAsia" w:hint="eastAsia"/>
          <w:sz w:val="24"/>
          <w:szCs w:val="24"/>
        </w:rPr>
        <w:t>万元，净资产-17,042.90万元，2022年度实现营业收入2,199.78万元，净利润-10,351.45万元，资产负债率为148.26%。（上述数据经审计）</w:t>
      </w:r>
    </w:p>
    <w:p w:rsidR="00646E05" w:rsidRDefault="00646E05" w:rsidP="00646E05">
      <w:pPr>
        <w:pStyle w:val="af0"/>
        <w:spacing w:line="360" w:lineRule="auto"/>
        <w:ind w:firstLineChars="200" w:firstLine="480"/>
        <w:rPr>
          <w:rFonts w:asciiTheme="minorEastAsia" w:eastAsiaTheme="minorEastAsia" w:hAnsiTheme="minorEastAsia"/>
          <w:sz w:val="24"/>
          <w:szCs w:val="24"/>
        </w:rPr>
      </w:pPr>
      <w:r w:rsidRPr="00646E05">
        <w:rPr>
          <w:rFonts w:asciiTheme="minorEastAsia" w:eastAsiaTheme="minorEastAsia" w:hAnsiTheme="minorEastAsia" w:hint="eastAsia"/>
          <w:sz w:val="24"/>
          <w:szCs w:val="24"/>
        </w:rPr>
        <w:t>截至2023年</w:t>
      </w:r>
      <w:r>
        <w:rPr>
          <w:rFonts w:asciiTheme="minorEastAsia" w:eastAsiaTheme="minorEastAsia" w:hAnsiTheme="minorEastAsia" w:hint="eastAsia"/>
          <w:sz w:val="24"/>
          <w:szCs w:val="24"/>
        </w:rPr>
        <w:t>9</w:t>
      </w:r>
      <w:r w:rsidRPr="00646E0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w:t>
      </w:r>
      <w:r>
        <w:rPr>
          <w:rFonts w:asciiTheme="minorEastAsia" w:eastAsiaTheme="minorEastAsia" w:hAnsiTheme="minorEastAsia"/>
          <w:sz w:val="24"/>
          <w:szCs w:val="24"/>
        </w:rPr>
        <w:t>0</w:t>
      </w:r>
      <w:r w:rsidRPr="00646E05">
        <w:rPr>
          <w:rFonts w:asciiTheme="minorEastAsia" w:eastAsiaTheme="minorEastAsia" w:hAnsiTheme="minorEastAsia" w:hint="eastAsia"/>
          <w:sz w:val="24"/>
          <w:szCs w:val="24"/>
        </w:rPr>
        <w:t>日，资产总额</w:t>
      </w:r>
      <w:r w:rsidR="007C3B0E" w:rsidRPr="007C3B0E">
        <w:rPr>
          <w:rFonts w:asciiTheme="minorEastAsia" w:eastAsiaTheme="minorEastAsia" w:hAnsiTheme="minorEastAsia"/>
          <w:sz w:val="24"/>
          <w:szCs w:val="24"/>
        </w:rPr>
        <w:t>37,824.53</w:t>
      </w:r>
      <w:r w:rsidRPr="007C3B0E">
        <w:rPr>
          <w:rFonts w:asciiTheme="minorEastAsia" w:eastAsiaTheme="minorEastAsia" w:hAnsiTheme="minorEastAsia" w:hint="eastAsia"/>
          <w:sz w:val="24"/>
          <w:szCs w:val="24"/>
        </w:rPr>
        <w:t>万</w:t>
      </w:r>
      <w:r w:rsidRPr="00646E05">
        <w:rPr>
          <w:rFonts w:asciiTheme="minorEastAsia" w:eastAsiaTheme="minorEastAsia" w:hAnsiTheme="minorEastAsia" w:hint="eastAsia"/>
          <w:sz w:val="24"/>
          <w:szCs w:val="24"/>
        </w:rPr>
        <w:t>元，负债总额</w:t>
      </w:r>
      <w:r w:rsidR="007C3B0E" w:rsidRPr="007C3B0E">
        <w:rPr>
          <w:rFonts w:asciiTheme="minorEastAsia" w:eastAsiaTheme="minorEastAsia" w:hAnsiTheme="minorEastAsia"/>
          <w:sz w:val="24"/>
          <w:szCs w:val="24"/>
        </w:rPr>
        <w:t>67,825.38</w:t>
      </w:r>
      <w:r w:rsidRPr="007C3B0E">
        <w:rPr>
          <w:rFonts w:asciiTheme="minorEastAsia" w:eastAsiaTheme="minorEastAsia" w:hAnsiTheme="minorEastAsia" w:hint="eastAsia"/>
          <w:sz w:val="24"/>
          <w:szCs w:val="24"/>
        </w:rPr>
        <w:t>万</w:t>
      </w:r>
      <w:r w:rsidRPr="00646E05">
        <w:rPr>
          <w:rFonts w:asciiTheme="minorEastAsia" w:eastAsiaTheme="minorEastAsia" w:hAnsiTheme="minorEastAsia" w:hint="eastAsia"/>
          <w:sz w:val="24"/>
          <w:szCs w:val="24"/>
        </w:rPr>
        <w:t>元，净资产</w:t>
      </w:r>
      <w:r w:rsidR="007C3B0E" w:rsidRPr="007C3B0E">
        <w:rPr>
          <w:rFonts w:asciiTheme="minorEastAsia" w:eastAsiaTheme="minorEastAsia" w:hAnsiTheme="minorEastAsia"/>
          <w:sz w:val="24"/>
          <w:szCs w:val="24"/>
        </w:rPr>
        <w:t>-30,000.85</w:t>
      </w:r>
      <w:r w:rsidRPr="007C3B0E">
        <w:rPr>
          <w:rFonts w:asciiTheme="minorEastAsia" w:eastAsiaTheme="minorEastAsia" w:hAnsiTheme="minorEastAsia" w:hint="eastAsia"/>
          <w:sz w:val="24"/>
          <w:szCs w:val="24"/>
        </w:rPr>
        <w:t>万</w:t>
      </w:r>
      <w:r w:rsidRPr="00646E05">
        <w:rPr>
          <w:rFonts w:asciiTheme="minorEastAsia" w:eastAsiaTheme="minorEastAsia" w:hAnsiTheme="minorEastAsia" w:hint="eastAsia"/>
          <w:sz w:val="24"/>
          <w:szCs w:val="24"/>
        </w:rPr>
        <w:t>元，2023年</w:t>
      </w:r>
      <w:r w:rsidR="00E57892">
        <w:rPr>
          <w:rFonts w:asciiTheme="minorEastAsia" w:eastAsiaTheme="minorEastAsia" w:hAnsiTheme="minorEastAsia" w:hint="eastAsia"/>
          <w:sz w:val="24"/>
          <w:szCs w:val="24"/>
        </w:rPr>
        <w:t>1-</w:t>
      </w:r>
      <w:r w:rsidR="00E57892">
        <w:rPr>
          <w:rFonts w:asciiTheme="minorEastAsia" w:eastAsiaTheme="minorEastAsia" w:hAnsiTheme="minorEastAsia"/>
          <w:sz w:val="24"/>
          <w:szCs w:val="24"/>
        </w:rPr>
        <w:t>9</w:t>
      </w:r>
      <w:r w:rsidRPr="00646E05">
        <w:rPr>
          <w:rFonts w:asciiTheme="minorEastAsia" w:eastAsiaTheme="minorEastAsia" w:hAnsiTheme="minorEastAsia" w:hint="eastAsia"/>
          <w:sz w:val="24"/>
          <w:szCs w:val="24"/>
        </w:rPr>
        <w:t>月实现营业收入</w:t>
      </w:r>
      <w:r w:rsidR="007C3B0E" w:rsidRPr="007C3B0E">
        <w:rPr>
          <w:rFonts w:asciiTheme="minorEastAsia" w:eastAsiaTheme="minorEastAsia" w:hAnsiTheme="minorEastAsia"/>
          <w:sz w:val="24"/>
          <w:szCs w:val="24"/>
        </w:rPr>
        <w:t>1,924.34</w:t>
      </w:r>
      <w:r w:rsidRPr="007C3B0E">
        <w:rPr>
          <w:rFonts w:asciiTheme="minorEastAsia" w:eastAsiaTheme="minorEastAsia" w:hAnsiTheme="minorEastAsia" w:hint="eastAsia"/>
          <w:sz w:val="24"/>
          <w:szCs w:val="24"/>
        </w:rPr>
        <w:t>万</w:t>
      </w:r>
      <w:r w:rsidRPr="00646E05">
        <w:rPr>
          <w:rFonts w:asciiTheme="minorEastAsia" w:eastAsiaTheme="minorEastAsia" w:hAnsiTheme="minorEastAsia" w:hint="eastAsia"/>
          <w:sz w:val="24"/>
          <w:szCs w:val="24"/>
        </w:rPr>
        <w:t>元，净利润</w:t>
      </w:r>
      <w:r w:rsidR="007C3B0E" w:rsidRPr="007C3B0E">
        <w:rPr>
          <w:rFonts w:asciiTheme="minorEastAsia" w:eastAsiaTheme="minorEastAsia" w:hAnsiTheme="minorEastAsia"/>
          <w:sz w:val="24"/>
          <w:szCs w:val="24"/>
        </w:rPr>
        <w:t>-12,957.95</w:t>
      </w:r>
      <w:r w:rsidRPr="007C3B0E">
        <w:rPr>
          <w:rFonts w:asciiTheme="minorEastAsia" w:eastAsiaTheme="minorEastAsia" w:hAnsiTheme="minorEastAsia" w:hint="eastAsia"/>
          <w:sz w:val="24"/>
          <w:szCs w:val="24"/>
        </w:rPr>
        <w:t>万</w:t>
      </w:r>
      <w:r w:rsidRPr="00646E05">
        <w:rPr>
          <w:rFonts w:asciiTheme="minorEastAsia" w:eastAsiaTheme="minorEastAsia" w:hAnsiTheme="minorEastAsia" w:hint="eastAsia"/>
          <w:sz w:val="24"/>
          <w:szCs w:val="24"/>
        </w:rPr>
        <w:t>元，资产负债率为</w:t>
      </w:r>
      <w:r w:rsidR="00367AB2">
        <w:rPr>
          <w:rFonts w:asciiTheme="minorEastAsia" w:eastAsiaTheme="minorEastAsia" w:hAnsiTheme="minorEastAsia"/>
          <w:sz w:val="24"/>
          <w:szCs w:val="24"/>
        </w:rPr>
        <w:t>179.32</w:t>
      </w:r>
      <w:r w:rsidRPr="00646E05">
        <w:rPr>
          <w:rFonts w:asciiTheme="minorEastAsia" w:eastAsiaTheme="minorEastAsia" w:hAnsiTheme="minorEastAsia" w:hint="eastAsia"/>
          <w:sz w:val="24"/>
          <w:szCs w:val="24"/>
        </w:rPr>
        <w:t>%。（上述数据未经审计）</w:t>
      </w:r>
    </w:p>
    <w:p w:rsidR="00E64872" w:rsidRPr="002F73E7" w:rsidRDefault="00A92DCB" w:rsidP="00BB43D9">
      <w:pPr>
        <w:pStyle w:val="af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三、担保主要内容</w:t>
      </w:r>
    </w:p>
    <w:p w:rsidR="002B0E20" w:rsidRDefault="00B440D7" w:rsidP="00451509">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024</w:t>
      </w:r>
      <w:r>
        <w:rPr>
          <w:rFonts w:asciiTheme="minorEastAsia" w:eastAsiaTheme="minorEastAsia" w:hAnsiTheme="minorEastAsia" w:hint="eastAsia"/>
          <w:sz w:val="24"/>
          <w:szCs w:val="24"/>
        </w:rPr>
        <w:t>年3月2</w:t>
      </w:r>
      <w:r>
        <w:rPr>
          <w:rFonts w:asciiTheme="minorEastAsia" w:eastAsiaTheme="minorEastAsia" w:hAnsiTheme="minorEastAsia"/>
          <w:sz w:val="24"/>
          <w:szCs w:val="24"/>
        </w:rPr>
        <w:t>1</w:t>
      </w:r>
      <w:r>
        <w:rPr>
          <w:rFonts w:asciiTheme="minorEastAsia" w:eastAsiaTheme="minorEastAsia" w:hAnsiTheme="minorEastAsia" w:hint="eastAsia"/>
          <w:sz w:val="24"/>
          <w:szCs w:val="24"/>
        </w:rPr>
        <w:t>日</w:t>
      </w:r>
      <w:r w:rsidR="00517581">
        <w:rPr>
          <w:rFonts w:asciiTheme="minorEastAsia" w:eastAsiaTheme="minorEastAsia" w:hAnsiTheme="minorEastAsia" w:hint="eastAsia"/>
          <w:sz w:val="24"/>
          <w:szCs w:val="24"/>
        </w:rPr>
        <w:t>，</w:t>
      </w:r>
      <w:r w:rsidR="002B0E20">
        <w:rPr>
          <w:rFonts w:asciiTheme="minorEastAsia" w:eastAsiaTheme="minorEastAsia" w:hAnsiTheme="minorEastAsia" w:hint="eastAsia"/>
          <w:sz w:val="24"/>
          <w:szCs w:val="24"/>
        </w:rPr>
        <w:t>浙江天元</w:t>
      </w:r>
      <w:r w:rsidR="002B0E20" w:rsidRPr="002B0E20">
        <w:rPr>
          <w:rFonts w:asciiTheme="minorEastAsia" w:eastAsiaTheme="minorEastAsia" w:hAnsiTheme="minorEastAsia" w:hint="eastAsia"/>
          <w:sz w:val="24"/>
          <w:szCs w:val="24"/>
        </w:rPr>
        <w:t>与余杭农村商业银行签订《流动资金信用借款合同》</w:t>
      </w:r>
      <w:r w:rsidR="00517581">
        <w:rPr>
          <w:rFonts w:asciiTheme="minorEastAsia" w:eastAsiaTheme="minorEastAsia" w:hAnsiTheme="minorEastAsia" w:hint="eastAsia"/>
          <w:sz w:val="24"/>
          <w:szCs w:val="24"/>
        </w:rPr>
        <w:t>，</w:t>
      </w:r>
      <w:r w:rsidR="00517581" w:rsidRPr="00517581">
        <w:rPr>
          <w:rFonts w:asciiTheme="minorEastAsia" w:eastAsiaTheme="minorEastAsia" w:hAnsiTheme="minorEastAsia" w:hint="eastAsia"/>
          <w:sz w:val="24"/>
          <w:szCs w:val="24"/>
        </w:rPr>
        <w:t>向余杭农村商业银行申请借款1,000万元</w:t>
      </w:r>
      <w:r w:rsidR="00517581">
        <w:rPr>
          <w:rFonts w:asciiTheme="minorEastAsia" w:eastAsiaTheme="minorEastAsia" w:hAnsiTheme="minorEastAsia" w:hint="eastAsia"/>
          <w:sz w:val="24"/>
          <w:szCs w:val="24"/>
        </w:rPr>
        <w:t>，为确保借款人的义务得到切实履行，保障被借款人债权的实现，浙江华</w:t>
      </w:r>
      <w:proofErr w:type="gramStart"/>
      <w:r w:rsidR="00517581">
        <w:rPr>
          <w:rFonts w:asciiTheme="minorEastAsia" w:eastAsiaTheme="minorEastAsia" w:hAnsiTheme="minorEastAsia" w:hint="eastAsia"/>
          <w:sz w:val="24"/>
          <w:szCs w:val="24"/>
        </w:rPr>
        <w:t>派愿意</w:t>
      </w:r>
      <w:proofErr w:type="gramEnd"/>
      <w:r w:rsidR="00517581">
        <w:rPr>
          <w:rFonts w:asciiTheme="minorEastAsia" w:eastAsiaTheme="minorEastAsia" w:hAnsiTheme="minorEastAsia" w:hint="eastAsia"/>
          <w:sz w:val="24"/>
          <w:szCs w:val="24"/>
        </w:rPr>
        <w:t>对借款人依借款合同与债权人所形成的债务与借款人未按期偿还贷款</w:t>
      </w:r>
      <w:r w:rsidR="00451509">
        <w:rPr>
          <w:rFonts w:asciiTheme="minorEastAsia" w:eastAsiaTheme="minorEastAsia" w:hAnsiTheme="minorEastAsia" w:hint="eastAsia"/>
          <w:sz w:val="24"/>
          <w:szCs w:val="24"/>
        </w:rPr>
        <w:t>所引起的一切损失及经济赔偿承担共同还款责任。</w:t>
      </w:r>
    </w:p>
    <w:p w:rsidR="002B0E20" w:rsidRDefault="00646E05" w:rsidP="002B0E20">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451509">
        <w:rPr>
          <w:rFonts w:asciiTheme="minorEastAsia" w:eastAsiaTheme="minorEastAsia" w:hAnsiTheme="minorEastAsia" w:hint="eastAsia"/>
          <w:sz w:val="24"/>
          <w:szCs w:val="24"/>
        </w:rPr>
        <w:t>共同还款的范围：包括但不限于借款合同项下的主债权及利息、逾期利息、复利、罚息、违约金和诉讼费、保全费、执行费、律师费、差旅费等实现债权的费用。</w:t>
      </w:r>
    </w:p>
    <w:p w:rsidR="00646E05" w:rsidRPr="00646E05" w:rsidRDefault="00646E05" w:rsidP="002B0E20">
      <w:pPr>
        <w:pStyle w:val="af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（二）共同还款承担责任的期限：自借款合同生效之日起至借款人全部还清贷款本息之日止。</w:t>
      </w:r>
    </w:p>
    <w:p w:rsidR="00E64872" w:rsidRDefault="00A92DCB" w:rsidP="002218BC">
      <w:pPr>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担保的必要性和合理性</w:t>
      </w:r>
    </w:p>
    <w:p w:rsidR="00E64872" w:rsidRDefault="00A92DCB" w:rsidP="003C323D">
      <w:pPr>
        <w:pStyle w:val="af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本次担保是</w:t>
      </w:r>
      <w:r w:rsidR="00646E05">
        <w:rPr>
          <w:rFonts w:asciiTheme="minorEastAsia" w:eastAsiaTheme="minorEastAsia" w:hAnsiTheme="minorEastAsia" w:hint="eastAsia"/>
          <w:bCs/>
          <w:sz w:val="24"/>
          <w:szCs w:val="24"/>
        </w:rPr>
        <w:t>浙江天元</w:t>
      </w:r>
      <w:r>
        <w:rPr>
          <w:rFonts w:asciiTheme="minorEastAsia" w:eastAsiaTheme="minorEastAsia" w:hAnsiTheme="minorEastAsia" w:hint="eastAsia"/>
          <w:bCs/>
          <w:sz w:val="24"/>
          <w:szCs w:val="24"/>
        </w:rPr>
        <w:t>满足日常经营需要的必要担保，有利于其稳健经营及长远发展，该担保的履行对公司的发展和效益提升有积极作用。被担保企业具备</w:t>
      </w:r>
      <w:r w:rsidR="00EB4E1F">
        <w:rPr>
          <w:rFonts w:asciiTheme="minorEastAsia" w:eastAsiaTheme="minorEastAsia" w:hAnsiTheme="minorEastAsia" w:hint="eastAsia"/>
          <w:bCs/>
          <w:sz w:val="24"/>
          <w:szCs w:val="24"/>
        </w:rPr>
        <w:t>正常的债务偿还能力，不存在影响其偿债能力的重大或有事项。</w:t>
      </w:r>
      <w:r w:rsidRPr="008D37A5">
        <w:rPr>
          <w:rFonts w:asciiTheme="minorEastAsia" w:eastAsiaTheme="minorEastAsia" w:hAnsiTheme="minorEastAsia" w:hint="eastAsia"/>
          <w:bCs/>
          <w:sz w:val="24"/>
          <w:szCs w:val="24"/>
        </w:rPr>
        <w:t>该项担保风险可控，不会损害公司及股东利益。</w:t>
      </w:r>
    </w:p>
    <w:p w:rsidR="00E64872" w:rsidRDefault="00A92DCB">
      <w:pPr>
        <w:pStyle w:val="af0"/>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五、董事会</w:t>
      </w:r>
      <w:r>
        <w:rPr>
          <w:rFonts w:asciiTheme="minorEastAsia" w:eastAsiaTheme="minorEastAsia" w:hAnsiTheme="minorEastAsia"/>
          <w:b/>
          <w:sz w:val="24"/>
          <w:szCs w:val="24"/>
        </w:rPr>
        <w:t>意见</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公司第四届董事会第</w:t>
      </w:r>
      <w:r w:rsidR="00EB4E1F">
        <w:rPr>
          <w:rFonts w:asciiTheme="minorEastAsia" w:eastAsiaTheme="minorEastAsia" w:hAnsiTheme="minorEastAsia" w:hint="eastAsia"/>
          <w:sz w:val="24"/>
          <w:szCs w:val="24"/>
        </w:rPr>
        <w:t>三十五</w:t>
      </w:r>
      <w:r>
        <w:rPr>
          <w:rFonts w:asciiTheme="minorEastAsia" w:eastAsiaTheme="minorEastAsia" w:hAnsiTheme="minorEastAsia" w:hint="eastAsia"/>
          <w:sz w:val="24"/>
          <w:szCs w:val="24"/>
        </w:rPr>
        <w:t>次（年度）会议及</w:t>
      </w:r>
      <w:r w:rsidR="00EB4E1F">
        <w:rPr>
          <w:rFonts w:asciiTheme="minorEastAsia" w:eastAsiaTheme="minorEastAsia" w:hAnsiTheme="minorEastAsia" w:hint="eastAsia"/>
          <w:sz w:val="24"/>
          <w:szCs w:val="24"/>
        </w:rPr>
        <w:t>202</w:t>
      </w:r>
      <w:r w:rsidR="00EB4E1F">
        <w:rPr>
          <w:rFonts w:asciiTheme="minorEastAsia" w:eastAsiaTheme="minorEastAsia" w:hAnsiTheme="minorEastAsia"/>
          <w:sz w:val="24"/>
          <w:szCs w:val="24"/>
        </w:rPr>
        <w:t>2</w:t>
      </w:r>
      <w:r>
        <w:rPr>
          <w:rFonts w:asciiTheme="minorEastAsia" w:eastAsiaTheme="minorEastAsia" w:hAnsiTheme="minorEastAsia" w:hint="eastAsia"/>
          <w:sz w:val="24"/>
          <w:szCs w:val="24"/>
        </w:rPr>
        <w:t>年年度股东大会审议通过了《关于审议公司及控股子公司</w:t>
      </w:r>
      <w:r w:rsidR="00EB4E1F">
        <w:rPr>
          <w:rFonts w:asciiTheme="minorEastAsia" w:eastAsiaTheme="minorEastAsia" w:hAnsiTheme="minorEastAsia" w:hint="eastAsia"/>
          <w:sz w:val="24"/>
          <w:szCs w:val="24"/>
        </w:rPr>
        <w:t>202</w:t>
      </w:r>
      <w:r w:rsidR="00EB4E1F">
        <w:rPr>
          <w:rFonts w:asciiTheme="minorEastAsia" w:eastAsiaTheme="minorEastAsia" w:hAnsiTheme="minorEastAsia"/>
          <w:sz w:val="24"/>
          <w:szCs w:val="24"/>
        </w:rPr>
        <w:t>3</w:t>
      </w:r>
      <w:r>
        <w:rPr>
          <w:rFonts w:asciiTheme="minorEastAsia" w:eastAsiaTheme="minorEastAsia" w:hAnsiTheme="minorEastAsia" w:hint="eastAsia"/>
          <w:sz w:val="24"/>
          <w:szCs w:val="24"/>
        </w:rPr>
        <w:t>年度预计新增融资额度及担保额度的议</w:t>
      </w:r>
      <w:r>
        <w:rPr>
          <w:rFonts w:asciiTheme="minorEastAsia" w:eastAsiaTheme="minorEastAsia" w:hAnsiTheme="minorEastAsia" w:hint="eastAsia"/>
          <w:sz w:val="24"/>
          <w:szCs w:val="24"/>
        </w:rPr>
        <w:lastRenderedPageBreak/>
        <w:t>案》。本次担保属于前述授权额度范围，风险可控，公平对等，不会损害公司利益。</w:t>
      </w:r>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b/>
          <w:sz w:val="24"/>
          <w:szCs w:val="24"/>
        </w:rPr>
        <w:t>累计对外担保数量及逾期担保的数量</w:t>
      </w:r>
    </w:p>
    <w:p w:rsidR="00E64872" w:rsidRPr="003C323D" w:rsidRDefault="00A92DCB" w:rsidP="003C323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sidRPr="00DA35ED">
        <w:rPr>
          <w:rFonts w:asciiTheme="minorEastAsia" w:eastAsiaTheme="minorEastAsia" w:hAnsiTheme="minorEastAsia" w:hint="eastAsia"/>
          <w:sz w:val="24"/>
          <w:szCs w:val="24"/>
        </w:rPr>
        <w:t>截至本</w:t>
      </w:r>
      <w:r w:rsidRPr="00DA35ED">
        <w:rPr>
          <w:rFonts w:asciiTheme="minorEastAsia" w:eastAsiaTheme="minorEastAsia" w:hAnsiTheme="minorEastAsia"/>
          <w:sz w:val="24"/>
          <w:szCs w:val="24"/>
        </w:rPr>
        <w:t>公告披露日，</w:t>
      </w:r>
      <w:r w:rsidRPr="00DA35ED">
        <w:rPr>
          <w:rFonts w:asciiTheme="minorEastAsia" w:eastAsiaTheme="minorEastAsia" w:hAnsiTheme="minorEastAsia" w:hint="eastAsia"/>
          <w:sz w:val="24"/>
          <w:szCs w:val="24"/>
        </w:rPr>
        <w:t>公司及控股子公司已提供的担保总额为人民币</w:t>
      </w:r>
      <w:r w:rsidR="00220325">
        <w:rPr>
          <w:rFonts w:asciiTheme="minorEastAsia" w:eastAsiaTheme="minorEastAsia" w:hAnsiTheme="minorEastAsia"/>
          <w:sz w:val="24"/>
          <w:szCs w:val="24"/>
        </w:rPr>
        <w:t>314,6</w:t>
      </w:r>
      <w:r w:rsidR="0065538B" w:rsidRPr="0065538B">
        <w:rPr>
          <w:rFonts w:asciiTheme="minorEastAsia" w:eastAsiaTheme="minorEastAsia" w:hAnsiTheme="minorEastAsia"/>
          <w:sz w:val="24"/>
          <w:szCs w:val="24"/>
        </w:rPr>
        <w:t>73</w:t>
      </w:r>
      <w:r w:rsidR="00220325">
        <w:rPr>
          <w:rFonts w:asciiTheme="minorEastAsia" w:eastAsiaTheme="minorEastAsia" w:hAnsiTheme="minorEastAsia"/>
          <w:sz w:val="24"/>
          <w:szCs w:val="24"/>
        </w:rPr>
        <w:t>.</w:t>
      </w:r>
      <w:r w:rsidR="0065538B" w:rsidRPr="0065538B">
        <w:rPr>
          <w:rFonts w:asciiTheme="minorEastAsia" w:eastAsiaTheme="minorEastAsia" w:hAnsiTheme="minorEastAsia"/>
          <w:sz w:val="24"/>
          <w:szCs w:val="24"/>
        </w:rPr>
        <w:t>7</w:t>
      </w:r>
      <w:r w:rsidR="00220325">
        <w:rPr>
          <w:rFonts w:asciiTheme="minorEastAsia" w:eastAsiaTheme="minorEastAsia" w:hAnsiTheme="minorEastAsia"/>
          <w:sz w:val="24"/>
          <w:szCs w:val="24"/>
        </w:rPr>
        <w:t>1</w:t>
      </w:r>
      <w:r w:rsidR="002B7944" w:rsidRPr="0065538B">
        <w:rPr>
          <w:rFonts w:asciiTheme="minorEastAsia" w:eastAsiaTheme="minorEastAsia" w:hAnsiTheme="minorEastAsia" w:hint="eastAsia"/>
          <w:sz w:val="24"/>
          <w:szCs w:val="24"/>
        </w:rPr>
        <w:t>万</w:t>
      </w:r>
      <w:r w:rsidRPr="0065538B">
        <w:rPr>
          <w:rFonts w:asciiTheme="minorEastAsia" w:eastAsiaTheme="minorEastAsia" w:hAnsiTheme="minorEastAsia" w:hint="eastAsia"/>
          <w:sz w:val="24"/>
          <w:szCs w:val="24"/>
        </w:rPr>
        <w:t>元</w:t>
      </w:r>
      <w:r w:rsidRPr="008D37A5">
        <w:rPr>
          <w:rFonts w:asciiTheme="minorEastAsia" w:eastAsiaTheme="minorEastAsia" w:hAnsiTheme="minorEastAsia"/>
          <w:sz w:val="24"/>
          <w:szCs w:val="24"/>
        </w:rPr>
        <w:t>，</w:t>
      </w:r>
      <w:r w:rsidRPr="00DA35ED">
        <w:rPr>
          <w:rFonts w:asciiTheme="minorEastAsia" w:eastAsiaTheme="minorEastAsia" w:hAnsiTheme="minorEastAsia"/>
          <w:sz w:val="24"/>
          <w:szCs w:val="24"/>
        </w:rPr>
        <w:t>占</w:t>
      </w:r>
      <w:r w:rsidRPr="00DA35ED">
        <w:rPr>
          <w:rFonts w:asciiTheme="minorEastAsia" w:eastAsiaTheme="minorEastAsia" w:hAnsiTheme="minorEastAsia" w:hint="eastAsia"/>
          <w:sz w:val="24"/>
          <w:szCs w:val="24"/>
        </w:rPr>
        <w:t>20</w:t>
      </w:r>
      <w:r w:rsidR="00EB4E1F">
        <w:rPr>
          <w:rFonts w:asciiTheme="minorEastAsia" w:eastAsiaTheme="minorEastAsia" w:hAnsiTheme="minorEastAsia"/>
          <w:sz w:val="24"/>
          <w:szCs w:val="24"/>
        </w:rPr>
        <w:t>22</w:t>
      </w:r>
      <w:r w:rsidRPr="00DA35ED">
        <w:rPr>
          <w:rFonts w:asciiTheme="minorEastAsia" w:eastAsiaTheme="minorEastAsia" w:hAnsiTheme="minorEastAsia" w:hint="eastAsia"/>
          <w:sz w:val="24"/>
          <w:szCs w:val="24"/>
        </w:rPr>
        <w:t>年</w:t>
      </w:r>
      <w:proofErr w:type="gramStart"/>
      <w:r w:rsidRPr="00DA35ED">
        <w:rPr>
          <w:rFonts w:asciiTheme="minorEastAsia" w:eastAsiaTheme="minorEastAsia" w:hAnsiTheme="minorEastAsia" w:hint="eastAsia"/>
          <w:sz w:val="24"/>
          <w:szCs w:val="24"/>
        </w:rPr>
        <w:t>末经</w:t>
      </w:r>
      <w:proofErr w:type="gramEnd"/>
      <w:r w:rsidRPr="00DA35ED">
        <w:rPr>
          <w:rFonts w:asciiTheme="minorEastAsia" w:eastAsiaTheme="minorEastAsia" w:hAnsiTheme="minorEastAsia" w:hint="eastAsia"/>
          <w:sz w:val="24"/>
          <w:szCs w:val="24"/>
        </w:rPr>
        <w:t>审计的公司净资产的</w:t>
      </w:r>
      <w:r w:rsidR="00220325">
        <w:rPr>
          <w:rFonts w:asciiTheme="minorEastAsia" w:eastAsiaTheme="minorEastAsia" w:hAnsiTheme="minorEastAsia"/>
          <w:sz w:val="24"/>
          <w:szCs w:val="24"/>
        </w:rPr>
        <w:t>25.45</w:t>
      </w:r>
      <w:r w:rsidRPr="00DA35ED">
        <w:rPr>
          <w:rFonts w:asciiTheme="minorEastAsia" w:eastAsiaTheme="minorEastAsia" w:hAnsiTheme="minorEastAsia" w:hint="eastAsia"/>
          <w:sz w:val="24"/>
          <w:szCs w:val="24"/>
        </w:rPr>
        <w:t>%。截止目前，公司无逾期</w:t>
      </w:r>
      <w:r w:rsidRPr="00DA35ED">
        <w:rPr>
          <w:rFonts w:asciiTheme="minorEastAsia" w:eastAsiaTheme="minorEastAsia" w:hAnsiTheme="minorEastAsia"/>
          <w:sz w:val="24"/>
          <w:szCs w:val="24"/>
        </w:rPr>
        <w:t>对外担保</w:t>
      </w:r>
      <w:r w:rsidRPr="00DA35ED">
        <w:rPr>
          <w:rFonts w:asciiTheme="minorEastAsia" w:eastAsiaTheme="minorEastAsia" w:hAnsiTheme="minorEastAsia" w:hint="eastAsia"/>
          <w:sz w:val="24"/>
          <w:szCs w:val="24"/>
        </w:rPr>
        <w:t>。</w:t>
      </w:r>
    </w:p>
    <w:p w:rsidR="00D85A71" w:rsidRDefault="00D85A7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8121D7" w:rsidRPr="008121D7" w:rsidRDefault="008121D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hint="eastAsia"/>
          <w:sz w:val="24"/>
          <w:szCs w:val="24"/>
        </w:rPr>
      </w:pPr>
      <w:bookmarkStart w:id="0" w:name="_GoBack"/>
      <w:bookmarkEnd w:id="0"/>
    </w:p>
    <w:p w:rsidR="00E64872" w:rsidRDefault="00A92DC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r>
        <w:rPr>
          <w:rFonts w:hint="eastAsia"/>
          <w:sz w:val="24"/>
          <w:szCs w:val="24"/>
        </w:rPr>
        <w:t>特此公告。</w:t>
      </w:r>
    </w:p>
    <w:p w:rsidR="00E64872" w:rsidRDefault="00E6487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E64872" w:rsidRDefault="00E6487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sz w:val="24"/>
          <w:szCs w:val="24"/>
        </w:rPr>
      </w:pPr>
    </w:p>
    <w:p w:rsidR="00E64872" w:rsidRDefault="00A92DCB">
      <w:pPr>
        <w:autoSpaceDE w:val="0"/>
        <w:autoSpaceDN w:val="0"/>
        <w:spacing w:line="360" w:lineRule="auto"/>
        <w:ind w:right="240" w:firstLineChars="200" w:firstLine="480"/>
        <w:jc w:val="right"/>
        <w:rPr>
          <w:rFonts w:asciiTheme="minorEastAsia" w:eastAsiaTheme="minorEastAsia" w:hAnsiTheme="minorEastAsia" w:cs="KAPJJC+ËÎÌå"/>
          <w:color w:val="000000"/>
          <w:sz w:val="24"/>
        </w:rPr>
      </w:pPr>
      <w:r>
        <w:rPr>
          <w:rFonts w:asciiTheme="minorEastAsia" w:eastAsiaTheme="minorEastAsia" w:hAnsiTheme="minorEastAsia" w:cs="KAPJJC+ËÎÌå" w:hint="eastAsia"/>
          <w:color w:val="000000"/>
          <w:sz w:val="24"/>
        </w:rPr>
        <w:t>山东步长制药股份有限公司董事会</w:t>
      </w:r>
    </w:p>
    <w:p w:rsidR="00E64872" w:rsidRDefault="00A92DCB" w:rsidP="00F22A99">
      <w:pPr>
        <w:wordWrap w:val="0"/>
        <w:autoSpaceDE w:val="0"/>
        <w:autoSpaceDN w:val="0"/>
        <w:spacing w:line="360" w:lineRule="auto"/>
        <w:ind w:right="1200" w:firstLineChars="200" w:firstLine="480"/>
        <w:jc w:val="right"/>
        <w:rPr>
          <w:rFonts w:asciiTheme="minorEastAsia" w:eastAsiaTheme="minorEastAsia" w:hAnsiTheme="minorEastAsia"/>
          <w:kern w:val="24"/>
          <w:sz w:val="24"/>
          <w:szCs w:val="24"/>
        </w:rPr>
      </w:pPr>
      <w:r>
        <w:rPr>
          <w:rFonts w:asciiTheme="minorEastAsia" w:eastAsiaTheme="minorEastAsia" w:hAnsiTheme="minorEastAsia" w:cs="KAPJJC+ËÎÌå" w:hint="eastAsia"/>
          <w:color w:val="000000"/>
          <w:sz w:val="24"/>
        </w:rPr>
        <w:t>20</w:t>
      </w:r>
      <w:r w:rsidR="00352F7C">
        <w:rPr>
          <w:rFonts w:asciiTheme="minorEastAsia" w:eastAsiaTheme="minorEastAsia" w:hAnsiTheme="minorEastAsia" w:cs="KAPJJC+ËÎÌå"/>
          <w:color w:val="000000"/>
          <w:sz w:val="24"/>
        </w:rPr>
        <w:t>2</w:t>
      </w:r>
      <w:r w:rsidR="00ED1EB2">
        <w:rPr>
          <w:rFonts w:asciiTheme="minorEastAsia" w:eastAsiaTheme="minorEastAsia" w:hAnsiTheme="minorEastAsia" w:cs="KAPJJC+ËÎÌå"/>
          <w:color w:val="000000"/>
          <w:sz w:val="24"/>
        </w:rPr>
        <w:t>4</w:t>
      </w:r>
      <w:r>
        <w:rPr>
          <w:rFonts w:asciiTheme="minorEastAsia" w:eastAsiaTheme="minorEastAsia" w:hAnsiTheme="minorEastAsia" w:cs="KAPJJC+ËÎÌå" w:hint="eastAsia"/>
          <w:color w:val="000000"/>
          <w:sz w:val="24"/>
        </w:rPr>
        <w:t>年</w:t>
      </w:r>
      <w:r w:rsidR="00ED1EB2">
        <w:rPr>
          <w:rFonts w:asciiTheme="minorEastAsia" w:eastAsiaTheme="minorEastAsia" w:hAnsiTheme="minorEastAsia" w:cs="KAPJJC+ËÎÌå"/>
          <w:color w:val="000000"/>
          <w:sz w:val="24"/>
        </w:rPr>
        <w:t>3</w:t>
      </w:r>
      <w:r>
        <w:rPr>
          <w:rFonts w:asciiTheme="minorEastAsia" w:eastAsiaTheme="minorEastAsia" w:hAnsiTheme="minorEastAsia" w:cs="KAPJJC+ËÎÌå" w:hint="eastAsia"/>
          <w:color w:val="000000"/>
          <w:sz w:val="24"/>
        </w:rPr>
        <w:t>月</w:t>
      </w:r>
      <w:r w:rsidR="00220325">
        <w:rPr>
          <w:rFonts w:asciiTheme="minorEastAsia" w:eastAsiaTheme="minorEastAsia" w:hAnsiTheme="minorEastAsia" w:cs="KAPJJC+ËÎÌå" w:hint="eastAsia"/>
          <w:color w:val="000000"/>
          <w:sz w:val="24"/>
        </w:rPr>
        <w:t>2</w:t>
      </w:r>
      <w:r w:rsidR="00220325">
        <w:rPr>
          <w:rFonts w:asciiTheme="minorEastAsia" w:eastAsiaTheme="minorEastAsia" w:hAnsiTheme="minorEastAsia" w:cs="KAPJJC+ËÎÌå"/>
          <w:color w:val="000000"/>
          <w:sz w:val="24"/>
        </w:rPr>
        <w:t>2</w:t>
      </w:r>
      <w:r>
        <w:rPr>
          <w:rFonts w:asciiTheme="minorEastAsia" w:eastAsiaTheme="minorEastAsia" w:hAnsiTheme="minorEastAsia" w:cs="KAPJJC+ËÎÌå" w:hint="eastAsia"/>
          <w:color w:val="000000"/>
          <w:sz w:val="24"/>
        </w:rPr>
        <w:t>日</w:t>
      </w:r>
    </w:p>
    <w:sectPr w:rsidR="00E64872">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70" w:rsidRDefault="00F84070">
      <w:r>
        <w:separator/>
      </w:r>
    </w:p>
  </w:endnote>
  <w:endnote w:type="continuationSeparator" w:id="0">
    <w:p w:rsidR="00F84070" w:rsidRDefault="00F8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1" w:usb1="080E0000" w:usb2="00000010" w:usb3="00000000" w:csb0="00040000"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51728"/>
    </w:sdtPr>
    <w:sdtEndPr/>
    <w:sdtContent>
      <w:p w:rsidR="00E64872" w:rsidRDefault="00A92DCB">
        <w:pPr>
          <w:pStyle w:val="a7"/>
          <w:jc w:val="center"/>
        </w:pPr>
        <w:r>
          <w:fldChar w:fldCharType="begin"/>
        </w:r>
        <w:r>
          <w:instrText>PAGE   \* MERGEFORMAT</w:instrText>
        </w:r>
        <w:r>
          <w:fldChar w:fldCharType="separate"/>
        </w:r>
        <w:r w:rsidR="008121D7" w:rsidRPr="008121D7">
          <w:rPr>
            <w:noProof/>
            <w:lang w:val="zh-CN"/>
          </w:rPr>
          <w:t>1</w:t>
        </w:r>
        <w:r>
          <w:fldChar w:fldCharType="end"/>
        </w:r>
      </w:p>
    </w:sdtContent>
  </w:sdt>
  <w:p w:rsidR="00E64872" w:rsidRDefault="00E648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70" w:rsidRDefault="00F84070">
      <w:r>
        <w:separator/>
      </w:r>
    </w:p>
  </w:footnote>
  <w:footnote w:type="continuationSeparator" w:id="0">
    <w:p w:rsidR="00F84070" w:rsidRDefault="00F840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902"/>
    <w:multiLevelType w:val="multilevel"/>
    <w:tmpl w:val="006439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3F773D8"/>
    <w:multiLevelType w:val="multilevel"/>
    <w:tmpl w:val="23F773D8"/>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4C801B2A"/>
    <w:multiLevelType w:val="hybridMultilevel"/>
    <w:tmpl w:val="527E1FE6"/>
    <w:lvl w:ilvl="0" w:tplc="CD1C4A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5C159C8"/>
    <w:multiLevelType w:val="hybridMultilevel"/>
    <w:tmpl w:val="2772B67E"/>
    <w:lvl w:ilvl="0" w:tplc="D11EE1E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AC7A56"/>
    <w:rsid w:val="000001FE"/>
    <w:rsid w:val="00001173"/>
    <w:rsid w:val="000047F3"/>
    <w:rsid w:val="0000667D"/>
    <w:rsid w:val="00007B42"/>
    <w:rsid w:val="00011828"/>
    <w:rsid w:val="000126A2"/>
    <w:rsid w:val="000130CB"/>
    <w:rsid w:val="0002318A"/>
    <w:rsid w:val="000251E1"/>
    <w:rsid w:val="00027799"/>
    <w:rsid w:val="000302D3"/>
    <w:rsid w:val="0003253A"/>
    <w:rsid w:val="0003691A"/>
    <w:rsid w:val="00037A08"/>
    <w:rsid w:val="00045DCF"/>
    <w:rsid w:val="000564AB"/>
    <w:rsid w:val="00061F27"/>
    <w:rsid w:val="000620C6"/>
    <w:rsid w:val="00080164"/>
    <w:rsid w:val="000813CF"/>
    <w:rsid w:val="0008181C"/>
    <w:rsid w:val="00082567"/>
    <w:rsid w:val="00082B70"/>
    <w:rsid w:val="00084BBA"/>
    <w:rsid w:val="00084EC9"/>
    <w:rsid w:val="0008654E"/>
    <w:rsid w:val="0008735A"/>
    <w:rsid w:val="000908E3"/>
    <w:rsid w:val="000945DD"/>
    <w:rsid w:val="0009464B"/>
    <w:rsid w:val="0009504D"/>
    <w:rsid w:val="0009644C"/>
    <w:rsid w:val="000A009A"/>
    <w:rsid w:val="000A0F50"/>
    <w:rsid w:val="000A24F1"/>
    <w:rsid w:val="000A591B"/>
    <w:rsid w:val="000A7B1A"/>
    <w:rsid w:val="000B10E2"/>
    <w:rsid w:val="000B5567"/>
    <w:rsid w:val="000B6294"/>
    <w:rsid w:val="000C21B9"/>
    <w:rsid w:val="000C2615"/>
    <w:rsid w:val="000C721A"/>
    <w:rsid w:val="000D1025"/>
    <w:rsid w:val="000D153C"/>
    <w:rsid w:val="000D5581"/>
    <w:rsid w:val="000D6099"/>
    <w:rsid w:val="000D688B"/>
    <w:rsid w:val="000D70EE"/>
    <w:rsid w:val="000D738C"/>
    <w:rsid w:val="000D7C63"/>
    <w:rsid w:val="000E2F27"/>
    <w:rsid w:val="000E7C8E"/>
    <w:rsid w:val="000F1C51"/>
    <w:rsid w:val="000F3B55"/>
    <w:rsid w:val="000F4BBC"/>
    <w:rsid w:val="001007EB"/>
    <w:rsid w:val="00105C56"/>
    <w:rsid w:val="00105C63"/>
    <w:rsid w:val="00111C1E"/>
    <w:rsid w:val="0011563C"/>
    <w:rsid w:val="00124A0D"/>
    <w:rsid w:val="0012512B"/>
    <w:rsid w:val="0012559C"/>
    <w:rsid w:val="00131EA3"/>
    <w:rsid w:val="001562D4"/>
    <w:rsid w:val="001564CF"/>
    <w:rsid w:val="001569D6"/>
    <w:rsid w:val="0016064E"/>
    <w:rsid w:val="001710AF"/>
    <w:rsid w:val="001717C4"/>
    <w:rsid w:val="00176150"/>
    <w:rsid w:val="00176E92"/>
    <w:rsid w:val="0018597A"/>
    <w:rsid w:val="00187B17"/>
    <w:rsid w:val="00190F35"/>
    <w:rsid w:val="00196B85"/>
    <w:rsid w:val="00197B2C"/>
    <w:rsid w:val="00197CC5"/>
    <w:rsid w:val="001A3667"/>
    <w:rsid w:val="001B256E"/>
    <w:rsid w:val="001B5110"/>
    <w:rsid w:val="001C210D"/>
    <w:rsid w:val="001C5C16"/>
    <w:rsid w:val="001D0ED6"/>
    <w:rsid w:val="001D4C12"/>
    <w:rsid w:val="001D4D62"/>
    <w:rsid w:val="001D5CDD"/>
    <w:rsid w:val="001D74B9"/>
    <w:rsid w:val="001E0969"/>
    <w:rsid w:val="001E4FE9"/>
    <w:rsid w:val="001E6C18"/>
    <w:rsid w:val="001F1325"/>
    <w:rsid w:val="001F79AC"/>
    <w:rsid w:val="00202FC1"/>
    <w:rsid w:val="00203A6E"/>
    <w:rsid w:val="0020491C"/>
    <w:rsid w:val="00205FD7"/>
    <w:rsid w:val="00206F9C"/>
    <w:rsid w:val="002171DF"/>
    <w:rsid w:val="00220325"/>
    <w:rsid w:val="002218BC"/>
    <w:rsid w:val="00221CAE"/>
    <w:rsid w:val="002278D6"/>
    <w:rsid w:val="00231E1B"/>
    <w:rsid w:val="00231E58"/>
    <w:rsid w:val="00232892"/>
    <w:rsid w:val="00233E3F"/>
    <w:rsid w:val="00241C2B"/>
    <w:rsid w:val="002448BD"/>
    <w:rsid w:val="00252182"/>
    <w:rsid w:val="00252FB8"/>
    <w:rsid w:val="00253B58"/>
    <w:rsid w:val="00254B0E"/>
    <w:rsid w:val="002551EA"/>
    <w:rsid w:val="00263CBC"/>
    <w:rsid w:val="0027022A"/>
    <w:rsid w:val="00271F06"/>
    <w:rsid w:val="00280DEE"/>
    <w:rsid w:val="00282DF2"/>
    <w:rsid w:val="00286006"/>
    <w:rsid w:val="002963F0"/>
    <w:rsid w:val="002A58D5"/>
    <w:rsid w:val="002A5E9D"/>
    <w:rsid w:val="002B0E20"/>
    <w:rsid w:val="002B2F18"/>
    <w:rsid w:val="002B3B5C"/>
    <w:rsid w:val="002B7944"/>
    <w:rsid w:val="002C0F35"/>
    <w:rsid w:val="002C1640"/>
    <w:rsid w:val="002C1766"/>
    <w:rsid w:val="002C1EB9"/>
    <w:rsid w:val="002C23F0"/>
    <w:rsid w:val="002C5A80"/>
    <w:rsid w:val="002D21E8"/>
    <w:rsid w:val="002D2871"/>
    <w:rsid w:val="002D47C7"/>
    <w:rsid w:val="002D500E"/>
    <w:rsid w:val="002D509B"/>
    <w:rsid w:val="002E0C18"/>
    <w:rsid w:val="002E6057"/>
    <w:rsid w:val="002F0971"/>
    <w:rsid w:val="002F3A13"/>
    <w:rsid w:val="002F73E7"/>
    <w:rsid w:val="00300275"/>
    <w:rsid w:val="00301560"/>
    <w:rsid w:val="00302EB8"/>
    <w:rsid w:val="003058F0"/>
    <w:rsid w:val="00307599"/>
    <w:rsid w:val="00311632"/>
    <w:rsid w:val="00313EA5"/>
    <w:rsid w:val="00317AC0"/>
    <w:rsid w:val="00321773"/>
    <w:rsid w:val="00324E74"/>
    <w:rsid w:val="00335E53"/>
    <w:rsid w:val="0033784C"/>
    <w:rsid w:val="00347138"/>
    <w:rsid w:val="00352F7C"/>
    <w:rsid w:val="003531E3"/>
    <w:rsid w:val="00353E35"/>
    <w:rsid w:val="00355C45"/>
    <w:rsid w:val="003604A6"/>
    <w:rsid w:val="00367AB2"/>
    <w:rsid w:val="00371548"/>
    <w:rsid w:val="0037295F"/>
    <w:rsid w:val="00373505"/>
    <w:rsid w:val="00376422"/>
    <w:rsid w:val="0038285B"/>
    <w:rsid w:val="0038288C"/>
    <w:rsid w:val="003833C0"/>
    <w:rsid w:val="003927F5"/>
    <w:rsid w:val="00395378"/>
    <w:rsid w:val="00395541"/>
    <w:rsid w:val="00395950"/>
    <w:rsid w:val="0039616B"/>
    <w:rsid w:val="003964F8"/>
    <w:rsid w:val="003A32C3"/>
    <w:rsid w:val="003A3A1F"/>
    <w:rsid w:val="003A4143"/>
    <w:rsid w:val="003A4547"/>
    <w:rsid w:val="003A5CFD"/>
    <w:rsid w:val="003B0F77"/>
    <w:rsid w:val="003C323D"/>
    <w:rsid w:val="003D5115"/>
    <w:rsid w:val="003D5FAB"/>
    <w:rsid w:val="003E1F4A"/>
    <w:rsid w:val="003E5184"/>
    <w:rsid w:val="003E55A1"/>
    <w:rsid w:val="003E5825"/>
    <w:rsid w:val="003E7674"/>
    <w:rsid w:val="003F1311"/>
    <w:rsid w:val="003F153C"/>
    <w:rsid w:val="003F4E3A"/>
    <w:rsid w:val="003F71E1"/>
    <w:rsid w:val="00405498"/>
    <w:rsid w:val="00406B9E"/>
    <w:rsid w:val="00411786"/>
    <w:rsid w:val="00416C81"/>
    <w:rsid w:val="00417A35"/>
    <w:rsid w:val="0042073A"/>
    <w:rsid w:val="004211D6"/>
    <w:rsid w:val="004227D9"/>
    <w:rsid w:val="00427106"/>
    <w:rsid w:val="004277A0"/>
    <w:rsid w:val="00427F10"/>
    <w:rsid w:val="004319A0"/>
    <w:rsid w:val="00443414"/>
    <w:rsid w:val="004451A8"/>
    <w:rsid w:val="004502BB"/>
    <w:rsid w:val="00451509"/>
    <w:rsid w:val="00451E7E"/>
    <w:rsid w:val="00453672"/>
    <w:rsid w:val="00454091"/>
    <w:rsid w:val="00462AFB"/>
    <w:rsid w:val="00466DF0"/>
    <w:rsid w:val="004719C3"/>
    <w:rsid w:val="00472986"/>
    <w:rsid w:val="0047340C"/>
    <w:rsid w:val="004770A2"/>
    <w:rsid w:val="00481724"/>
    <w:rsid w:val="004846DF"/>
    <w:rsid w:val="00485FEE"/>
    <w:rsid w:val="00491614"/>
    <w:rsid w:val="00492A8C"/>
    <w:rsid w:val="004A0F54"/>
    <w:rsid w:val="004A382B"/>
    <w:rsid w:val="004A3A5C"/>
    <w:rsid w:val="004A6536"/>
    <w:rsid w:val="004B0D84"/>
    <w:rsid w:val="004B170C"/>
    <w:rsid w:val="004B3C9D"/>
    <w:rsid w:val="004B4AD7"/>
    <w:rsid w:val="004B4B81"/>
    <w:rsid w:val="004B6735"/>
    <w:rsid w:val="004B6C24"/>
    <w:rsid w:val="004C2104"/>
    <w:rsid w:val="004C4541"/>
    <w:rsid w:val="004C5CF6"/>
    <w:rsid w:val="004C6047"/>
    <w:rsid w:val="004C7653"/>
    <w:rsid w:val="004D01F1"/>
    <w:rsid w:val="004D343F"/>
    <w:rsid w:val="004E0FFE"/>
    <w:rsid w:val="004E272B"/>
    <w:rsid w:val="004E74FC"/>
    <w:rsid w:val="004F2F72"/>
    <w:rsid w:val="004F7A55"/>
    <w:rsid w:val="005113C4"/>
    <w:rsid w:val="00511D1E"/>
    <w:rsid w:val="00512092"/>
    <w:rsid w:val="005147BE"/>
    <w:rsid w:val="00514D79"/>
    <w:rsid w:val="005156FC"/>
    <w:rsid w:val="00517581"/>
    <w:rsid w:val="00527F7F"/>
    <w:rsid w:val="00530106"/>
    <w:rsid w:val="0053036C"/>
    <w:rsid w:val="00541530"/>
    <w:rsid w:val="00543B23"/>
    <w:rsid w:val="00544C41"/>
    <w:rsid w:val="00545CF6"/>
    <w:rsid w:val="005461A4"/>
    <w:rsid w:val="00547AEC"/>
    <w:rsid w:val="00553C33"/>
    <w:rsid w:val="00553D4F"/>
    <w:rsid w:val="00560BCF"/>
    <w:rsid w:val="00570FEA"/>
    <w:rsid w:val="00576F6A"/>
    <w:rsid w:val="0058436C"/>
    <w:rsid w:val="005860EC"/>
    <w:rsid w:val="005865EC"/>
    <w:rsid w:val="00587138"/>
    <w:rsid w:val="00593312"/>
    <w:rsid w:val="005945E9"/>
    <w:rsid w:val="00597FCE"/>
    <w:rsid w:val="005A12D6"/>
    <w:rsid w:val="005A4B54"/>
    <w:rsid w:val="005A5CAE"/>
    <w:rsid w:val="005A603F"/>
    <w:rsid w:val="005A6B95"/>
    <w:rsid w:val="005B317E"/>
    <w:rsid w:val="005C120B"/>
    <w:rsid w:val="005C184B"/>
    <w:rsid w:val="005C1C70"/>
    <w:rsid w:val="005D1DAA"/>
    <w:rsid w:val="005E2ACC"/>
    <w:rsid w:val="005E3352"/>
    <w:rsid w:val="005E42AB"/>
    <w:rsid w:val="005E4AA8"/>
    <w:rsid w:val="005F161A"/>
    <w:rsid w:val="005F2EF4"/>
    <w:rsid w:val="005F402F"/>
    <w:rsid w:val="005F77BB"/>
    <w:rsid w:val="005F7F5E"/>
    <w:rsid w:val="00601748"/>
    <w:rsid w:val="00610B17"/>
    <w:rsid w:val="006138D2"/>
    <w:rsid w:val="00613962"/>
    <w:rsid w:val="006165A6"/>
    <w:rsid w:val="00617195"/>
    <w:rsid w:val="00620393"/>
    <w:rsid w:val="00621263"/>
    <w:rsid w:val="006237EB"/>
    <w:rsid w:val="00625CD0"/>
    <w:rsid w:val="006317C5"/>
    <w:rsid w:val="00632240"/>
    <w:rsid w:val="006332A2"/>
    <w:rsid w:val="00633989"/>
    <w:rsid w:val="006372F4"/>
    <w:rsid w:val="00643839"/>
    <w:rsid w:val="00644B6B"/>
    <w:rsid w:val="00646E05"/>
    <w:rsid w:val="00651EBC"/>
    <w:rsid w:val="0065538B"/>
    <w:rsid w:val="00656E72"/>
    <w:rsid w:val="0066062E"/>
    <w:rsid w:val="00660C80"/>
    <w:rsid w:val="006633FD"/>
    <w:rsid w:val="006655BB"/>
    <w:rsid w:val="00667EEF"/>
    <w:rsid w:val="00672DA4"/>
    <w:rsid w:val="00673DE7"/>
    <w:rsid w:val="006751FD"/>
    <w:rsid w:val="006800B8"/>
    <w:rsid w:val="006805FD"/>
    <w:rsid w:val="006825AF"/>
    <w:rsid w:val="00683789"/>
    <w:rsid w:val="0068650D"/>
    <w:rsid w:val="00690F73"/>
    <w:rsid w:val="006A114E"/>
    <w:rsid w:val="006B0901"/>
    <w:rsid w:val="006C4414"/>
    <w:rsid w:val="006C559D"/>
    <w:rsid w:val="006C58C6"/>
    <w:rsid w:val="006C6382"/>
    <w:rsid w:val="006C6A32"/>
    <w:rsid w:val="006D4C63"/>
    <w:rsid w:val="006D5C37"/>
    <w:rsid w:val="006E7B7E"/>
    <w:rsid w:val="006F2921"/>
    <w:rsid w:val="006F4B00"/>
    <w:rsid w:val="006F57D1"/>
    <w:rsid w:val="006F6660"/>
    <w:rsid w:val="0070264C"/>
    <w:rsid w:val="0071752E"/>
    <w:rsid w:val="00717C15"/>
    <w:rsid w:val="00717EA4"/>
    <w:rsid w:val="00717EA7"/>
    <w:rsid w:val="0072153C"/>
    <w:rsid w:val="00722DCD"/>
    <w:rsid w:val="00724D10"/>
    <w:rsid w:val="007264A6"/>
    <w:rsid w:val="00726E04"/>
    <w:rsid w:val="007301A0"/>
    <w:rsid w:val="00744384"/>
    <w:rsid w:val="007447F9"/>
    <w:rsid w:val="00750F9A"/>
    <w:rsid w:val="00755C61"/>
    <w:rsid w:val="007570DA"/>
    <w:rsid w:val="00761F33"/>
    <w:rsid w:val="00765E1E"/>
    <w:rsid w:val="007739E7"/>
    <w:rsid w:val="00773A93"/>
    <w:rsid w:val="00775C35"/>
    <w:rsid w:val="00776114"/>
    <w:rsid w:val="00777349"/>
    <w:rsid w:val="0078062B"/>
    <w:rsid w:val="00791765"/>
    <w:rsid w:val="00791ADE"/>
    <w:rsid w:val="00791D5E"/>
    <w:rsid w:val="00794A72"/>
    <w:rsid w:val="00795FCD"/>
    <w:rsid w:val="007A2759"/>
    <w:rsid w:val="007A593C"/>
    <w:rsid w:val="007A72C4"/>
    <w:rsid w:val="007B05CC"/>
    <w:rsid w:val="007B1146"/>
    <w:rsid w:val="007B4759"/>
    <w:rsid w:val="007B77A9"/>
    <w:rsid w:val="007C0B83"/>
    <w:rsid w:val="007C0CCA"/>
    <w:rsid w:val="007C3B0E"/>
    <w:rsid w:val="007C6DA4"/>
    <w:rsid w:val="007D062F"/>
    <w:rsid w:val="007D0E86"/>
    <w:rsid w:val="007D65B2"/>
    <w:rsid w:val="007E1502"/>
    <w:rsid w:val="007E5C79"/>
    <w:rsid w:val="007E65D8"/>
    <w:rsid w:val="007F08A2"/>
    <w:rsid w:val="007F52A2"/>
    <w:rsid w:val="007F5B01"/>
    <w:rsid w:val="007F6E07"/>
    <w:rsid w:val="007F72E5"/>
    <w:rsid w:val="007F7AE4"/>
    <w:rsid w:val="00803BA1"/>
    <w:rsid w:val="00803C51"/>
    <w:rsid w:val="00805AE6"/>
    <w:rsid w:val="00806C8B"/>
    <w:rsid w:val="008120F8"/>
    <w:rsid w:val="008121D7"/>
    <w:rsid w:val="00812BEF"/>
    <w:rsid w:val="008232F0"/>
    <w:rsid w:val="00824293"/>
    <w:rsid w:val="00830726"/>
    <w:rsid w:val="008307BE"/>
    <w:rsid w:val="008325EC"/>
    <w:rsid w:val="008326C9"/>
    <w:rsid w:val="00836970"/>
    <w:rsid w:val="008373F8"/>
    <w:rsid w:val="00842121"/>
    <w:rsid w:val="00846A59"/>
    <w:rsid w:val="00853817"/>
    <w:rsid w:val="008542AE"/>
    <w:rsid w:val="00855970"/>
    <w:rsid w:val="0085620D"/>
    <w:rsid w:val="00857562"/>
    <w:rsid w:val="00876AF9"/>
    <w:rsid w:val="00877A51"/>
    <w:rsid w:val="00881D12"/>
    <w:rsid w:val="00881E17"/>
    <w:rsid w:val="00887ADC"/>
    <w:rsid w:val="00892D43"/>
    <w:rsid w:val="00894E52"/>
    <w:rsid w:val="008A2BBA"/>
    <w:rsid w:val="008A4154"/>
    <w:rsid w:val="008A567E"/>
    <w:rsid w:val="008B49AB"/>
    <w:rsid w:val="008B7B12"/>
    <w:rsid w:val="008C0CB9"/>
    <w:rsid w:val="008C34FA"/>
    <w:rsid w:val="008C4C3D"/>
    <w:rsid w:val="008C59FB"/>
    <w:rsid w:val="008D0494"/>
    <w:rsid w:val="008D10CF"/>
    <w:rsid w:val="008D20E1"/>
    <w:rsid w:val="008D37A5"/>
    <w:rsid w:val="008D42D6"/>
    <w:rsid w:val="008E0AB4"/>
    <w:rsid w:val="008E2CC3"/>
    <w:rsid w:val="008F251D"/>
    <w:rsid w:val="008F4E85"/>
    <w:rsid w:val="00900E0C"/>
    <w:rsid w:val="0090236A"/>
    <w:rsid w:val="009042EF"/>
    <w:rsid w:val="00910221"/>
    <w:rsid w:val="00912245"/>
    <w:rsid w:val="009149F8"/>
    <w:rsid w:val="0091569E"/>
    <w:rsid w:val="00915CF0"/>
    <w:rsid w:val="00917EF8"/>
    <w:rsid w:val="00920153"/>
    <w:rsid w:val="00920382"/>
    <w:rsid w:val="00925528"/>
    <w:rsid w:val="009264AF"/>
    <w:rsid w:val="00926722"/>
    <w:rsid w:val="00936CDA"/>
    <w:rsid w:val="00937243"/>
    <w:rsid w:val="0095290E"/>
    <w:rsid w:val="00955404"/>
    <w:rsid w:val="00956248"/>
    <w:rsid w:val="00956574"/>
    <w:rsid w:val="009602F3"/>
    <w:rsid w:val="00961A0E"/>
    <w:rsid w:val="00962E12"/>
    <w:rsid w:val="00972932"/>
    <w:rsid w:val="0097779C"/>
    <w:rsid w:val="009830FA"/>
    <w:rsid w:val="00985236"/>
    <w:rsid w:val="009912AB"/>
    <w:rsid w:val="00991860"/>
    <w:rsid w:val="00994BF5"/>
    <w:rsid w:val="009962C9"/>
    <w:rsid w:val="00996DC6"/>
    <w:rsid w:val="009A243B"/>
    <w:rsid w:val="009A2F26"/>
    <w:rsid w:val="009A36AA"/>
    <w:rsid w:val="009C29CB"/>
    <w:rsid w:val="009D3CE4"/>
    <w:rsid w:val="009D59D9"/>
    <w:rsid w:val="009D759B"/>
    <w:rsid w:val="009E1FC4"/>
    <w:rsid w:val="009E25C1"/>
    <w:rsid w:val="009E37E8"/>
    <w:rsid w:val="009E3A91"/>
    <w:rsid w:val="009E5901"/>
    <w:rsid w:val="009E71FA"/>
    <w:rsid w:val="009E7675"/>
    <w:rsid w:val="009F230C"/>
    <w:rsid w:val="009F2DD0"/>
    <w:rsid w:val="009F539E"/>
    <w:rsid w:val="00A01677"/>
    <w:rsid w:val="00A03D3C"/>
    <w:rsid w:val="00A06A09"/>
    <w:rsid w:val="00A12459"/>
    <w:rsid w:val="00A12FD7"/>
    <w:rsid w:val="00A23C1F"/>
    <w:rsid w:val="00A24030"/>
    <w:rsid w:val="00A31200"/>
    <w:rsid w:val="00A44606"/>
    <w:rsid w:val="00A46757"/>
    <w:rsid w:val="00A46A73"/>
    <w:rsid w:val="00A50C5C"/>
    <w:rsid w:val="00A534B0"/>
    <w:rsid w:val="00A57B15"/>
    <w:rsid w:val="00A635BB"/>
    <w:rsid w:val="00A75CDE"/>
    <w:rsid w:val="00A77202"/>
    <w:rsid w:val="00A77B05"/>
    <w:rsid w:val="00A8079B"/>
    <w:rsid w:val="00A80987"/>
    <w:rsid w:val="00A8290D"/>
    <w:rsid w:val="00A90BF0"/>
    <w:rsid w:val="00A90DA1"/>
    <w:rsid w:val="00A92DCB"/>
    <w:rsid w:val="00AA22DF"/>
    <w:rsid w:val="00AA39C9"/>
    <w:rsid w:val="00AA5795"/>
    <w:rsid w:val="00AA6222"/>
    <w:rsid w:val="00AB1C97"/>
    <w:rsid w:val="00AB3079"/>
    <w:rsid w:val="00AB3587"/>
    <w:rsid w:val="00AB5753"/>
    <w:rsid w:val="00AB7234"/>
    <w:rsid w:val="00AB7E01"/>
    <w:rsid w:val="00AC1B07"/>
    <w:rsid w:val="00AC5D96"/>
    <w:rsid w:val="00AC62D9"/>
    <w:rsid w:val="00AC7A56"/>
    <w:rsid w:val="00AD3FC1"/>
    <w:rsid w:val="00AD506C"/>
    <w:rsid w:val="00AD60F1"/>
    <w:rsid w:val="00AD7BC5"/>
    <w:rsid w:val="00AF063A"/>
    <w:rsid w:val="00B002BC"/>
    <w:rsid w:val="00B045D8"/>
    <w:rsid w:val="00B06C60"/>
    <w:rsid w:val="00B22A5A"/>
    <w:rsid w:val="00B24869"/>
    <w:rsid w:val="00B32A8F"/>
    <w:rsid w:val="00B348C0"/>
    <w:rsid w:val="00B37F6E"/>
    <w:rsid w:val="00B404D8"/>
    <w:rsid w:val="00B421CE"/>
    <w:rsid w:val="00B440D7"/>
    <w:rsid w:val="00B47CC1"/>
    <w:rsid w:val="00B50EC3"/>
    <w:rsid w:val="00B516D5"/>
    <w:rsid w:val="00B53A3D"/>
    <w:rsid w:val="00B567BE"/>
    <w:rsid w:val="00B574BF"/>
    <w:rsid w:val="00B61D4B"/>
    <w:rsid w:val="00B630C4"/>
    <w:rsid w:val="00B64718"/>
    <w:rsid w:val="00B66FDF"/>
    <w:rsid w:val="00B674A2"/>
    <w:rsid w:val="00B7767B"/>
    <w:rsid w:val="00B87130"/>
    <w:rsid w:val="00BA1791"/>
    <w:rsid w:val="00BA2F9D"/>
    <w:rsid w:val="00BA4F7A"/>
    <w:rsid w:val="00BA5987"/>
    <w:rsid w:val="00BA7246"/>
    <w:rsid w:val="00BA767C"/>
    <w:rsid w:val="00BB2D53"/>
    <w:rsid w:val="00BB416B"/>
    <w:rsid w:val="00BB43D9"/>
    <w:rsid w:val="00BB7576"/>
    <w:rsid w:val="00BB7942"/>
    <w:rsid w:val="00BC0386"/>
    <w:rsid w:val="00BC1601"/>
    <w:rsid w:val="00BC51DA"/>
    <w:rsid w:val="00BD2FB4"/>
    <w:rsid w:val="00BD65F9"/>
    <w:rsid w:val="00BE3362"/>
    <w:rsid w:val="00BE33C0"/>
    <w:rsid w:val="00BE533A"/>
    <w:rsid w:val="00BF620F"/>
    <w:rsid w:val="00BF6BD8"/>
    <w:rsid w:val="00C00D87"/>
    <w:rsid w:val="00C122B5"/>
    <w:rsid w:val="00C13E09"/>
    <w:rsid w:val="00C219DE"/>
    <w:rsid w:val="00C221A8"/>
    <w:rsid w:val="00C250FE"/>
    <w:rsid w:val="00C260C3"/>
    <w:rsid w:val="00C2684A"/>
    <w:rsid w:val="00C26FB0"/>
    <w:rsid w:val="00C30B5B"/>
    <w:rsid w:val="00C333E9"/>
    <w:rsid w:val="00C34903"/>
    <w:rsid w:val="00C37F1A"/>
    <w:rsid w:val="00C467DD"/>
    <w:rsid w:val="00C4793F"/>
    <w:rsid w:val="00C5075D"/>
    <w:rsid w:val="00C531E5"/>
    <w:rsid w:val="00C55BAF"/>
    <w:rsid w:val="00C5741C"/>
    <w:rsid w:val="00C5781A"/>
    <w:rsid w:val="00C60319"/>
    <w:rsid w:val="00C64CEB"/>
    <w:rsid w:val="00C732A8"/>
    <w:rsid w:val="00C75A20"/>
    <w:rsid w:val="00C77413"/>
    <w:rsid w:val="00C80DF5"/>
    <w:rsid w:val="00C84508"/>
    <w:rsid w:val="00C91AF5"/>
    <w:rsid w:val="00C92E37"/>
    <w:rsid w:val="00CA3FD8"/>
    <w:rsid w:val="00CB1FEF"/>
    <w:rsid w:val="00CB2A9C"/>
    <w:rsid w:val="00CB4CDD"/>
    <w:rsid w:val="00CC15DC"/>
    <w:rsid w:val="00CC6FF0"/>
    <w:rsid w:val="00CD0464"/>
    <w:rsid w:val="00CD1371"/>
    <w:rsid w:val="00CD18A8"/>
    <w:rsid w:val="00CD6251"/>
    <w:rsid w:val="00CE11A7"/>
    <w:rsid w:val="00CE19D8"/>
    <w:rsid w:val="00CE1C40"/>
    <w:rsid w:val="00CE3C86"/>
    <w:rsid w:val="00CE445A"/>
    <w:rsid w:val="00CE4745"/>
    <w:rsid w:val="00CE55B9"/>
    <w:rsid w:val="00CE7785"/>
    <w:rsid w:val="00CE7ADF"/>
    <w:rsid w:val="00CF08AA"/>
    <w:rsid w:val="00CF32CE"/>
    <w:rsid w:val="00CF362E"/>
    <w:rsid w:val="00D00374"/>
    <w:rsid w:val="00D009BE"/>
    <w:rsid w:val="00D025FD"/>
    <w:rsid w:val="00D1151E"/>
    <w:rsid w:val="00D24EF1"/>
    <w:rsid w:val="00D2605E"/>
    <w:rsid w:val="00D3118B"/>
    <w:rsid w:val="00D31F42"/>
    <w:rsid w:val="00D32E87"/>
    <w:rsid w:val="00D423E7"/>
    <w:rsid w:val="00D42E3F"/>
    <w:rsid w:val="00D42FFC"/>
    <w:rsid w:val="00D43E62"/>
    <w:rsid w:val="00D4542C"/>
    <w:rsid w:val="00D509D1"/>
    <w:rsid w:val="00D56A09"/>
    <w:rsid w:val="00D64424"/>
    <w:rsid w:val="00D64CBA"/>
    <w:rsid w:val="00D64E1B"/>
    <w:rsid w:val="00D7323F"/>
    <w:rsid w:val="00D7705E"/>
    <w:rsid w:val="00D85A71"/>
    <w:rsid w:val="00D86663"/>
    <w:rsid w:val="00D917FA"/>
    <w:rsid w:val="00D9678E"/>
    <w:rsid w:val="00DA35ED"/>
    <w:rsid w:val="00DA5FAA"/>
    <w:rsid w:val="00DC0110"/>
    <w:rsid w:val="00DC28D7"/>
    <w:rsid w:val="00DD04D0"/>
    <w:rsid w:val="00DD0A1F"/>
    <w:rsid w:val="00DD2F24"/>
    <w:rsid w:val="00DD5D79"/>
    <w:rsid w:val="00DE2C7B"/>
    <w:rsid w:val="00DE3426"/>
    <w:rsid w:val="00DE6B0B"/>
    <w:rsid w:val="00DE7F25"/>
    <w:rsid w:val="00DF19B6"/>
    <w:rsid w:val="00DF3179"/>
    <w:rsid w:val="00E02F45"/>
    <w:rsid w:val="00E06881"/>
    <w:rsid w:val="00E07E65"/>
    <w:rsid w:val="00E14135"/>
    <w:rsid w:val="00E142C4"/>
    <w:rsid w:val="00E16537"/>
    <w:rsid w:val="00E16643"/>
    <w:rsid w:val="00E174F6"/>
    <w:rsid w:val="00E20746"/>
    <w:rsid w:val="00E236C9"/>
    <w:rsid w:val="00E32F3A"/>
    <w:rsid w:val="00E32FAC"/>
    <w:rsid w:val="00E35BB9"/>
    <w:rsid w:val="00E36ADB"/>
    <w:rsid w:val="00E37052"/>
    <w:rsid w:val="00E4037D"/>
    <w:rsid w:val="00E5567B"/>
    <w:rsid w:val="00E55F6F"/>
    <w:rsid w:val="00E562DB"/>
    <w:rsid w:val="00E57892"/>
    <w:rsid w:val="00E63CC0"/>
    <w:rsid w:val="00E64872"/>
    <w:rsid w:val="00E64FAE"/>
    <w:rsid w:val="00E67191"/>
    <w:rsid w:val="00E679E0"/>
    <w:rsid w:val="00E70423"/>
    <w:rsid w:val="00E72916"/>
    <w:rsid w:val="00E73BEB"/>
    <w:rsid w:val="00E819FA"/>
    <w:rsid w:val="00E83313"/>
    <w:rsid w:val="00E85548"/>
    <w:rsid w:val="00E87223"/>
    <w:rsid w:val="00E92BC6"/>
    <w:rsid w:val="00EA0F0A"/>
    <w:rsid w:val="00EA2F8E"/>
    <w:rsid w:val="00EA43A6"/>
    <w:rsid w:val="00EA6D04"/>
    <w:rsid w:val="00EB1279"/>
    <w:rsid w:val="00EB1EA9"/>
    <w:rsid w:val="00EB3F26"/>
    <w:rsid w:val="00EB4DBF"/>
    <w:rsid w:val="00EB4E1F"/>
    <w:rsid w:val="00EC0DB6"/>
    <w:rsid w:val="00EC5876"/>
    <w:rsid w:val="00EC6697"/>
    <w:rsid w:val="00EC69F7"/>
    <w:rsid w:val="00ED1EB2"/>
    <w:rsid w:val="00EE3D4E"/>
    <w:rsid w:val="00EE4A20"/>
    <w:rsid w:val="00EE78BA"/>
    <w:rsid w:val="00EF619D"/>
    <w:rsid w:val="00EF6483"/>
    <w:rsid w:val="00F00A7E"/>
    <w:rsid w:val="00F02143"/>
    <w:rsid w:val="00F021AC"/>
    <w:rsid w:val="00F07AC4"/>
    <w:rsid w:val="00F15C51"/>
    <w:rsid w:val="00F20419"/>
    <w:rsid w:val="00F2080F"/>
    <w:rsid w:val="00F22A99"/>
    <w:rsid w:val="00F2586F"/>
    <w:rsid w:val="00F27A60"/>
    <w:rsid w:val="00F37BFF"/>
    <w:rsid w:val="00F43F3A"/>
    <w:rsid w:val="00F51F63"/>
    <w:rsid w:val="00F52E92"/>
    <w:rsid w:val="00F54542"/>
    <w:rsid w:val="00F548E7"/>
    <w:rsid w:val="00F57387"/>
    <w:rsid w:val="00F60F28"/>
    <w:rsid w:val="00F62C3F"/>
    <w:rsid w:val="00F63CF5"/>
    <w:rsid w:val="00F64FD3"/>
    <w:rsid w:val="00F64FF2"/>
    <w:rsid w:val="00F65C56"/>
    <w:rsid w:val="00F66F81"/>
    <w:rsid w:val="00F7030E"/>
    <w:rsid w:val="00F7112D"/>
    <w:rsid w:val="00F816B8"/>
    <w:rsid w:val="00F84070"/>
    <w:rsid w:val="00F857B6"/>
    <w:rsid w:val="00F87036"/>
    <w:rsid w:val="00F91E8D"/>
    <w:rsid w:val="00F97ABA"/>
    <w:rsid w:val="00F97BAF"/>
    <w:rsid w:val="00FA3FEA"/>
    <w:rsid w:val="00FA53E7"/>
    <w:rsid w:val="00FB3D79"/>
    <w:rsid w:val="00FC0759"/>
    <w:rsid w:val="00FC139D"/>
    <w:rsid w:val="00FC3A11"/>
    <w:rsid w:val="00FC7AD5"/>
    <w:rsid w:val="00FD41A3"/>
    <w:rsid w:val="00FD4327"/>
    <w:rsid w:val="00FD553D"/>
    <w:rsid w:val="00FD7C48"/>
    <w:rsid w:val="00FE21CA"/>
    <w:rsid w:val="00FE2F07"/>
    <w:rsid w:val="00FE7E9E"/>
    <w:rsid w:val="00FF69D1"/>
    <w:rsid w:val="02C24BF1"/>
    <w:rsid w:val="04675A50"/>
    <w:rsid w:val="08966904"/>
    <w:rsid w:val="09000221"/>
    <w:rsid w:val="0BB2614A"/>
    <w:rsid w:val="0DCD726B"/>
    <w:rsid w:val="0F59068B"/>
    <w:rsid w:val="10A44651"/>
    <w:rsid w:val="115B06EA"/>
    <w:rsid w:val="11C47712"/>
    <w:rsid w:val="122338FE"/>
    <w:rsid w:val="1CF77E61"/>
    <w:rsid w:val="1E4C1AE7"/>
    <w:rsid w:val="1EAB7F41"/>
    <w:rsid w:val="1FC14756"/>
    <w:rsid w:val="224A458F"/>
    <w:rsid w:val="23D5257E"/>
    <w:rsid w:val="23D5432C"/>
    <w:rsid w:val="2432352D"/>
    <w:rsid w:val="24BB5C18"/>
    <w:rsid w:val="258B6B7F"/>
    <w:rsid w:val="27152C75"/>
    <w:rsid w:val="28810F26"/>
    <w:rsid w:val="2A44045E"/>
    <w:rsid w:val="2BEA293F"/>
    <w:rsid w:val="2DBF0527"/>
    <w:rsid w:val="2EDC2A13"/>
    <w:rsid w:val="31EB11BF"/>
    <w:rsid w:val="33185FE3"/>
    <w:rsid w:val="355E6877"/>
    <w:rsid w:val="37602A7B"/>
    <w:rsid w:val="38EF759E"/>
    <w:rsid w:val="3CEF24AB"/>
    <w:rsid w:val="3D2959BD"/>
    <w:rsid w:val="3DE9514C"/>
    <w:rsid w:val="418807D8"/>
    <w:rsid w:val="43171E14"/>
    <w:rsid w:val="43DE2931"/>
    <w:rsid w:val="44A34A52"/>
    <w:rsid w:val="457C2402"/>
    <w:rsid w:val="48217291"/>
    <w:rsid w:val="483416BA"/>
    <w:rsid w:val="488732EA"/>
    <w:rsid w:val="4A5D4EF8"/>
    <w:rsid w:val="4E1B4818"/>
    <w:rsid w:val="4EC15329"/>
    <w:rsid w:val="51121E6C"/>
    <w:rsid w:val="52911BE2"/>
    <w:rsid w:val="52B0193D"/>
    <w:rsid w:val="52D7511B"/>
    <w:rsid w:val="55627866"/>
    <w:rsid w:val="577949F3"/>
    <w:rsid w:val="58C425E6"/>
    <w:rsid w:val="5BB57FC4"/>
    <w:rsid w:val="5E6D4B86"/>
    <w:rsid w:val="5FC86518"/>
    <w:rsid w:val="604B21FE"/>
    <w:rsid w:val="622540F5"/>
    <w:rsid w:val="637D1D0F"/>
    <w:rsid w:val="66407DEE"/>
    <w:rsid w:val="67AF7FBD"/>
    <w:rsid w:val="6A6634FD"/>
    <w:rsid w:val="6BA811AC"/>
    <w:rsid w:val="6C0703C8"/>
    <w:rsid w:val="6ED8604B"/>
    <w:rsid w:val="71125845"/>
    <w:rsid w:val="7189187F"/>
    <w:rsid w:val="75530B22"/>
    <w:rsid w:val="76377AFB"/>
    <w:rsid w:val="76F105F2"/>
    <w:rsid w:val="788F00C3"/>
    <w:rsid w:val="78B74F24"/>
    <w:rsid w:val="79420C91"/>
    <w:rsid w:val="7B474C85"/>
    <w:rsid w:val="7EDB5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40035"/>
  <w15:docId w15:val="{7ABE0010-3215-420F-BE77-7FC02F1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qFormat/>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0">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style>
  <w:style w:type="character" w:customStyle="1" w:styleId="apple-converted-space">
    <w:name w:val="apple-converted-space"/>
    <w:basedOn w:val="a0"/>
    <w:qFormat/>
  </w:style>
  <w:style w:type="paragraph" w:styleId="af1">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customStyle="1" w:styleId="11">
    <w:name w:val="未处理的提及1"/>
    <w:basedOn w:val="a0"/>
    <w:uiPriority w:val="99"/>
    <w:semiHidden/>
    <w:unhideWhenUsed/>
    <w:qFormat/>
    <w:rPr>
      <w:color w:val="605E5C"/>
      <w:shd w:val="clear" w:color="auto" w:fill="E1DFDD"/>
    </w:rPr>
  </w:style>
  <w:style w:type="paragraph" w:styleId="af2">
    <w:name w:val="Body Text Indent"/>
    <w:basedOn w:val="a"/>
    <w:link w:val="af3"/>
    <w:uiPriority w:val="99"/>
    <w:unhideWhenUsed/>
    <w:rsid w:val="00BE533A"/>
    <w:pPr>
      <w:pBdr>
        <w:top w:val="none" w:sz="0" w:space="0" w:color="auto"/>
        <w:left w:val="none" w:sz="0" w:space="0" w:color="auto"/>
        <w:bottom w:val="none" w:sz="0" w:space="0" w:color="auto"/>
        <w:right w:val="none" w:sz="0" w:space="0" w:color="auto"/>
        <w:between w:val="none" w:sz="0" w:space="0" w:color="auto"/>
      </w:pBdr>
      <w:ind w:left="844"/>
    </w:pPr>
    <w:rPr>
      <w:rFonts w:ascii="Times New Roman" w:eastAsia="仿宋_GB2312" w:hAnsi="Times New Roman"/>
      <w:kern w:val="2"/>
      <w:sz w:val="32"/>
      <w:szCs w:val="20"/>
    </w:rPr>
  </w:style>
  <w:style w:type="character" w:customStyle="1" w:styleId="af3">
    <w:name w:val="正文文本缩进 字符"/>
    <w:basedOn w:val="a0"/>
    <w:link w:val="af2"/>
    <w:uiPriority w:val="99"/>
    <w:rsid w:val="00BE533A"/>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39430">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496919768">
          <w:marLeft w:val="0"/>
          <w:marRight w:val="0"/>
          <w:marTop w:val="0"/>
          <w:marBottom w:val="0"/>
          <w:divBdr>
            <w:top w:val="none" w:sz="0" w:space="0" w:color="auto"/>
            <w:left w:val="none" w:sz="0" w:space="0" w:color="auto"/>
            <w:bottom w:val="none" w:sz="0" w:space="0" w:color="auto"/>
            <w:right w:val="none" w:sz="0" w:space="0" w:color="auto"/>
          </w:divBdr>
        </w:div>
        <w:div w:id="1644657426">
          <w:marLeft w:val="0"/>
          <w:marRight w:val="0"/>
          <w:marTop w:val="0"/>
          <w:marBottom w:val="0"/>
          <w:divBdr>
            <w:top w:val="none" w:sz="0" w:space="0" w:color="auto"/>
            <w:left w:val="none" w:sz="0" w:space="0" w:color="auto"/>
            <w:bottom w:val="none" w:sz="0" w:space="0" w:color="auto"/>
            <w:right w:val="none" w:sz="0" w:space="0" w:color="auto"/>
          </w:divBdr>
        </w:div>
        <w:div w:id="2123376973">
          <w:marLeft w:val="0"/>
          <w:marRight w:val="0"/>
          <w:marTop w:val="0"/>
          <w:marBottom w:val="0"/>
          <w:divBdr>
            <w:top w:val="none" w:sz="0" w:space="0" w:color="auto"/>
            <w:left w:val="none" w:sz="0" w:space="0" w:color="auto"/>
            <w:bottom w:val="none" w:sz="0" w:space="0" w:color="auto"/>
            <w:right w:val="none" w:sz="0" w:space="0" w:color="auto"/>
          </w:divBdr>
        </w:div>
        <w:div w:id="103041315">
          <w:marLeft w:val="0"/>
          <w:marRight w:val="0"/>
          <w:marTop w:val="0"/>
          <w:marBottom w:val="0"/>
          <w:divBdr>
            <w:top w:val="none" w:sz="0" w:space="0" w:color="auto"/>
            <w:left w:val="none" w:sz="0" w:space="0" w:color="auto"/>
            <w:bottom w:val="none" w:sz="0" w:space="0" w:color="auto"/>
            <w:right w:val="none" w:sz="0" w:space="0" w:color="auto"/>
          </w:divBdr>
        </w:div>
        <w:div w:id="1774593029">
          <w:marLeft w:val="0"/>
          <w:marRight w:val="0"/>
          <w:marTop w:val="0"/>
          <w:marBottom w:val="0"/>
          <w:divBdr>
            <w:top w:val="none" w:sz="0" w:space="0" w:color="auto"/>
            <w:left w:val="none" w:sz="0" w:space="0" w:color="auto"/>
            <w:bottom w:val="none" w:sz="0" w:space="0" w:color="auto"/>
            <w:right w:val="none" w:sz="0" w:space="0" w:color="auto"/>
          </w:divBdr>
        </w:div>
        <w:div w:id="2012371762">
          <w:marLeft w:val="0"/>
          <w:marRight w:val="0"/>
          <w:marTop w:val="0"/>
          <w:marBottom w:val="0"/>
          <w:divBdr>
            <w:top w:val="none" w:sz="0" w:space="0" w:color="auto"/>
            <w:left w:val="none" w:sz="0" w:space="0" w:color="auto"/>
            <w:bottom w:val="none" w:sz="0" w:space="0" w:color="auto"/>
            <w:right w:val="none" w:sz="0" w:space="0" w:color="auto"/>
          </w:divBdr>
        </w:div>
        <w:div w:id="812991078">
          <w:marLeft w:val="0"/>
          <w:marRight w:val="0"/>
          <w:marTop w:val="0"/>
          <w:marBottom w:val="0"/>
          <w:divBdr>
            <w:top w:val="none" w:sz="0" w:space="0" w:color="auto"/>
            <w:left w:val="none" w:sz="0" w:space="0" w:color="auto"/>
            <w:bottom w:val="none" w:sz="0" w:space="0" w:color="auto"/>
            <w:right w:val="none" w:sz="0" w:space="0" w:color="auto"/>
          </w:divBdr>
        </w:div>
        <w:div w:id="1678654290">
          <w:marLeft w:val="0"/>
          <w:marRight w:val="0"/>
          <w:marTop w:val="0"/>
          <w:marBottom w:val="0"/>
          <w:divBdr>
            <w:top w:val="none" w:sz="0" w:space="0" w:color="auto"/>
            <w:left w:val="none" w:sz="0" w:space="0" w:color="auto"/>
            <w:bottom w:val="none" w:sz="0" w:space="0" w:color="auto"/>
            <w:right w:val="none" w:sz="0" w:space="0" w:color="auto"/>
          </w:divBdr>
        </w:div>
        <w:div w:id="1322389398">
          <w:marLeft w:val="0"/>
          <w:marRight w:val="0"/>
          <w:marTop w:val="0"/>
          <w:marBottom w:val="0"/>
          <w:divBdr>
            <w:top w:val="none" w:sz="0" w:space="0" w:color="auto"/>
            <w:left w:val="none" w:sz="0" w:space="0" w:color="auto"/>
            <w:bottom w:val="none" w:sz="0" w:space="0" w:color="auto"/>
            <w:right w:val="none" w:sz="0" w:space="0" w:color="auto"/>
          </w:divBdr>
        </w:div>
        <w:div w:id="12149359">
          <w:marLeft w:val="0"/>
          <w:marRight w:val="0"/>
          <w:marTop w:val="0"/>
          <w:marBottom w:val="0"/>
          <w:divBdr>
            <w:top w:val="none" w:sz="0" w:space="0" w:color="auto"/>
            <w:left w:val="none" w:sz="0" w:space="0" w:color="auto"/>
            <w:bottom w:val="none" w:sz="0" w:space="0" w:color="auto"/>
            <w:right w:val="none" w:sz="0" w:space="0" w:color="auto"/>
          </w:divBdr>
        </w:div>
        <w:div w:id="1573809051">
          <w:marLeft w:val="0"/>
          <w:marRight w:val="0"/>
          <w:marTop w:val="0"/>
          <w:marBottom w:val="0"/>
          <w:divBdr>
            <w:top w:val="none" w:sz="0" w:space="0" w:color="auto"/>
            <w:left w:val="none" w:sz="0" w:space="0" w:color="auto"/>
            <w:bottom w:val="none" w:sz="0" w:space="0" w:color="auto"/>
            <w:right w:val="none" w:sz="0" w:space="0" w:color="auto"/>
          </w:divBdr>
        </w:div>
      </w:divsChild>
    </w:div>
    <w:div w:id="206406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E5DC-ED64-4C5E-897C-663D4EBA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wqy</cp:lastModifiedBy>
  <cp:revision>243</cp:revision>
  <cp:lastPrinted>2017-01-13T08:35:00Z</cp:lastPrinted>
  <dcterms:created xsi:type="dcterms:W3CDTF">2018-07-02T07:24:00Z</dcterms:created>
  <dcterms:modified xsi:type="dcterms:W3CDTF">2024-03-21T07:09:00Z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66892770A5FE4FDFB505A90FE98557AD</vt:lpwstr>
  </property>
</Properties>
</file>