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60D" w:rsidRDefault="00626ED5">
      <w:pPr>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证券代码：603858         证券简称：</w:t>
      </w:r>
      <w:r>
        <w:rPr>
          <w:rFonts w:asciiTheme="minorEastAsia" w:eastAsiaTheme="minorEastAsia" w:hAnsiTheme="minorEastAsia" w:hint="eastAsia"/>
          <w:sz w:val="24"/>
          <w:szCs w:val="24"/>
        </w:rPr>
        <w:t>步长</w:t>
      </w:r>
      <w:r>
        <w:rPr>
          <w:rFonts w:asciiTheme="minorEastAsia" w:eastAsiaTheme="minorEastAsia" w:hAnsiTheme="minorEastAsia"/>
          <w:sz w:val="24"/>
          <w:szCs w:val="24"/>
        </w:rPr>
        <w:t>制药</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公告编号：2023-</w:t>
      </w:r>
      <w:r>
        <w:rPr>
          <w:rFonts w:asciiTheme="minorEastAsia" w:eastAsiaTheme="minorEastAsia" w:hAnsiTheme="minorEastAsia" w:hint="eastAsia"/>
          <w:sz w:val="24"/>
          <w:szCs w:val="24"/>
        </w:rPr>
        <w:t>0</w:t>
      </w:r>
      <w:r>
        <w:rPr>
          <w:rFonts w:asciiTheme="minorEastAsia" w:eastAsiaTheme="minorEastAsia" w:hAnsiTheme="minorEastAsia"/>
          <w:sz w:val="24"/>
          <w:szCs w:val="24"/>
        </w:rPr>
        <w:t>24</w:t>
      </w:r>
    </w:p>
    <w:p w:rsidR="00B6560D" w:rsidRDefault="00626ED5">
      <w:pPr>
        <w:spacing w:beforeLines="50" w:before="120" w:afterLines="50" w:after="120" w:line="360" w:lineRule="auto"/>
        <w:jc w:val="center"/>
        <w:rPr>
          <w:rFonts w:asciiTheme="majorEastAsia" w:eastAsiaTheme="majorEastAsia" w:hAnsiTheme="majorEastAsia"/>
          <w:b/>
          <w:color w:val="FF0000"/>
          <w:sz w:val="32"/>
          <w:szCs w:val="32"/>
        </w:rPr>
      </w:pPr>
      <w:r>
        <w:rPr>
          <w:rFonts w:asciiTheme="majorEastAsia" w:eastAsiaTheme="majorEastAsia" w:hAnsiTheme="majorEastAsia" w:hint="eastAsia"/>
          <w:b/>
          <w:color w:val="FF0000"/>
          <w:sz w:val="32"/>
          <w:szCs w:val="32"/>
        </w:rPr>
        <w:t>山东步长制药股份有限公司</w:t>
      </w:r>
    </w:p>
    <w:p w:rsidR="00B6560D" w:rsidRDefault="00626ED5">
      <w:pPr>
        <w:spacing w:beforeLines="50" w:before="120" w:afterLines="50" w:after="120" w:line="360" w:lineRule="auto"/>
        <w:jc w:val="center"/>
        <w:rPr>
          <w:rFonts w:asciiTheme="majorEastAsia" w:eastAsiaTheme="majorEastAsia" w:hAnsiTheme="majorEastAsia"/>
          <w:b/>
          <w:color w:val="FF0000"/>
          <w:sz w:val="32"/>
          <w:szCs w:val="32"/>
        </w:rPr>
      </w:pPr>
      <w:r>
        <w:rPr>
          <w:rFonts w:asciiTheme="majorEastAsia" w:eastAsiaTheme="majorEastAsia" w:hAnsiTheme="majorEastAsia" w:hint="eastAsia"/>
          <w:b/>
          <w:color w:val="FF0000"/>
          <w:sz w:val="32"/>
          <w:szCs w:val="32"/>
        </w:rPr>
        <w:t>关于拟对外投资暨关联交易的进展公告</w:t>
      </w:r>
    </w:p>
    <w:p w:rsidR="00B6560D" w:rsidRDefault="00626ED5">
      <w:pPr>
        <w:pBdr>
          <w:top w:val="single" w:sz="4" w:space="1" w:color="auto"/>
          <w:left w:val="single" w:sz="4" w:space="4" w:color="auto"/>
          <w:bottom w:val="single" w:sz="4" w:space="0" w:color="auto"/>
          <w:right w:val="single" w:sz="4" w:space="4" w:color="auto"/>
        </w:pBdr>
        <w:adjustRightInd w:val="0"/>
        <w:snapToGrid w:val="0"/>
        <w:spacing w:line="360" w:lineRule="auto"/>
        <w:ind w:firstLineChars="200" w:firstLine="480"/>
        <w:rPr>
          <w:rFonts w:asciiTheme="minorEastAsia" w:eastAsiaTheme="minorEastAsia" w:hAnsiTheme="minorEastAsia"/>
          <w:kern w:val="2"/>
          <w:sz w:val="24"/>
          <w:szCs w:val="24"/>
        </w:rPr>
      </w:pPr>
      <w:r>
        <w:rPr>
          <w:rFonts w:asciiTheme="minorEastAsia" w:eastAsiaTheme="minorEastAsia" w:hAnsiTheme="minorEastAsia" w:hint="eastAsia"/>
          <w:sz w:val="24"/>
          <w:szCs w:val="24"/>
        </w:rPr>
        <w:t>本公司董事会及全体董事保证本公告内容不存在任何虚假记载、误导性陈述或者重大遗漏，并对其内容的真实性、准确性和完整性承担法律责任。</w:t>
      </w:r>
    </w:p>
    <w:p w:rsidR="00B6560D" w:rsidRDefault="00B6560D">
      <w:pPr>
        <w:pStyle w:val="af"/>
        <w:spacing w:line="360" w:lineRule="auto"/>
        <w:rPr>
          <w:rFonts w:asciiTheme="minorEastAsia" w:eastAsiaTheme="minorEastAsia" w:hAnsiTheme="minorEastAsia"/>
          <w:b/>
          <w:sz w:val="24"/>
          <w:szCs w:val="24"/>
        </w:rPr>
      </w:pPr>
    </w:p>
    <w:p w:rsidR="00B6560D" w:rsidRDefault="00626ED5">
      <w:pPr>
        <w:pStyle w:val="af"/>
        <w:spacing w:before="120" w:after="120" w:line="360" w:lineRule="auto"/>
        <w:ind w:firstLineChars="200" w:firstLine="482"/>
        <w:contextualSpacing/>
        <w:rPr>
          <w:rFonts w:asciiTheme="minorEastAsia" w:eastAsiaTheme="minorEastAsia" w:hAnsiTheme="minorEastAsia"/>
          <w:b/>
          <w:sz w:val="24"/>
          <w:szCs w:val="24"/>
        </w:rPr>
      </w:pPr>
      <w:r>
        <w:rPr>
          <w:rFonts w:asciiTheme="minorEastAsia" w:eastAsiaTheme="minorEastAsia" w:hAnsiTheme="minorEastAsia"/>
          <w:b/>
          <w:sz w:val="24"/>
          <w:szCs w:val="24"/>
        </w:rPr>
        <w:t>一</w:t>
      </w:r>
      <w:r>
        <w:rPr>
          <w:rFonts w:asciiTheme="minorEastAsia" w:eastAsiaTheme="minorEastAsia" w:hAnsiTheme="minorEastAsia" w:hint="eastAsia"/>
          <w:b/>
          <w:sz w:val="24"/>
          <w:szCs w:val="24"/>
        </w:rPr>
        <w:t>、交易概述</w:t>
      </w:r>
    </w:p>
    <w:p w:rsidR="00B6560D" w:rsidRDefault="00626ED5">
      <w:pPr>
        <w:pStyle w:val="af"/>
        <w:spacing w:before="120" w:after="120" w:line="360" w:lineRule="auto"/>
        <w:ind w:firstLineChars="200" w:firstLine="480"/>
        <w:contextualSpacing/>
        <w:rPr>
          <w:rFonts w:asciiTheme="minorEastAsia" w:eastAsiaTheme="minorEastAsia" w:hAnsiTheme="minorEastAsia"/>
          <w:b/>
          <w:sz w:val="24"/>
          <w:szCs w:val="24"/>
        </w:rPr>
      </w:pPr>
      <w:r>
        <w:rPr>
          <w:rFonts w:asciiTheme="minorEastAsia" w:eastAsiaTheme="minorEastAsia" w:hAnsiTheme="minorEastAsia" w:hint="eastAsia"/>
          <w:sz w:val="24"/>
          <w:szCs w:val="24"/>
        </w:rPr>
        <w:t>2022年8月10日，山东步长制药股份有限公司（以下简称“公司”）召开第四届董事会第二十三次会议，审议通过了《关于增资长睿生物技术（成都）有限公司的议案》，同意公司拟出资6,400万元对长睿生物技术（成都）有限公司（以下简称“长睿生物”）进行增资。本次增资完成后，长睿生物的注册资本将由3,600万元增加至10,000万元。具体内容详见公司2022年8月11日披露于上海证券交易所网站（www.sse.com.cn）的《关于增资长睿生物技术（成都）有限公司的公告》（公告编号：2022-120）。</w:t>
      </w:r>
    </w:p>
    <w:p w:rsidR="00B6560D" w:rsidRDefault="00626ED5">
      <w:pPr>
        <w:pStyle w:val="af"/>
        <w:spacing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2023年3月1日，公司召开第四届董事会第三十一次会议，审议通过了《关于拟对外投资暨关联交易的议案》，同意完善公司对长睿生物的整体重组，公司拟对外投资重组（通过包括但不限于增资、股权受让等方式）长睿生物。具体内容详见公司202</w:t>
      </w:r>
      <w:r>
        <w:rPr>
          <w:rFonts w:asciiTheme="minorEastAsia" w:eastAsiaTheme="minorEastAsia" w:hAnsiTheme="minorEastAsia"/>
          <w:sz w:val="24"/>
          <w:szCs w:val="24"/>
        </w:rPr>
        <w:t>3</w:t>
      </w:r>
      <w:r>
        <w:rPr>
          <w:rFonts w:asciiTheme="minorEastAsia" w:eastAsiaTheme="minorEastAsia" w:hAnsiTheme="minorEastAsia" w:hint="eastAsia"/>
          <w:sz w:val="24"/>
          <w:szCs w:val="24"/>
        </w:rPr>
        <w:t>年</w:t>
      </w:r>
      <w:r>
        <w:rPr>
          <w:rFonts w:asciiTheme="minorEastAsia" w:eastAsiaTheme="minorEastAsia" w:hAnsiTheme="minorEastAsia"/>
          <w:sz w:val="24"/>
          <w:szCs w:val="24"/>
        </w:rPr>
        <w:t>3</w:t>
      </w:r>
      <w:r>
        <w:rPr>
          <w:rFonts w:asciiTheme="minorEastAsia" w:eastAsiaTheme="minorEastAsia" w:hAnsiTheme="minorEastAsia" w:hint="eastAsia"/>
          <w:sz w:val="24"/>
          <w:szCs w:val="24"/>
        </w:rPr>
        <w:t>月2日披露于上海证券交易所网站（www.sse.com.cn）的《</w:t>
      </w:r>
      <w:r w:rsidR="00AB094D" w:rsidRPr="00AB094D">
        <w:rPr>
          <w:rFonts w:asciiTheme="minorEastAsia" w:eastAsiaTheme="minorEastAsia" w:hAnsiTheme="minorEastAsia" w:hint="eastAsia"/>
          <w:sz w:val="24"/>
          <w:szCs w:val="24"/>
        </w:rPr>
        <w:t>关于拟对外投资暨关联交易的公告</w:t>
      </w:r>
      <w:r>
        <w:rPr>
          <w:rFonts w:asciiTheme="minorEastAsia" w:eastAsiaTheme="minorEastAsia" w:hAnsiTheme="minorEastAsia" w:hint="eastAsia"/>
          <w:sz w:val="24"/>
          <w:szCs w:val="24"/>
        </w:rPr>
        <w:t>》（公告编号：202</w:t>
      </w:r>
      <w:r>
        <w:rPr>
          <w:rFonts w:asciiTheme="minorEastAsia" w:eastAsiaTheme="minorEastAsia" w:hAnsiTheme="minorEastAsia"/>
          <w:sz w:val="24"/>
          <w:szCs w:val="24"/>
        </w:rPr>
        <w:t>3</w:t>
      </w:r>
      <w:r>
        <w:rPr>
          <w:rFonts w:asciiTheme="minorEastAsia" w:eastAsiaTheme="minorEastAsia" w:hAnsiTheme="minorEastAsia" w:hint="eastAsia"/>
          <w:sz w:val="24"/>
          <w:szCs w:val="24"/>
        </w:rPr>
        <w:t>-</w:t>
      </w:r>
      <w:r>
        <w:rPr>
          <w:rFonts w:asciiTheme="minorEastAsia" w:eastAsiaTheme="minorEastAsia" w:hAnsiTheme="minorEastAsia"/>
          <w:sz w:val="24"/>
          <w:szCs w:val="24"/>
        </w:rPr>
        <w:t>021</w:t>
      </w:r>
      <w:r>
        <w:rPr>
          <w:rFonts w:asciiTheme="minorEastAsia" w:eastAsiaTheme="minorEastAsia" w:hAnsiTheme="minorEastAsia" w:hint="eastAsia"/>
          <w:sz w:val="24"/>
          <w:szCs w:val="24"/>
        </w:rPr>
        <w:t>）。</w:t>
      </w:r>
    </w:p>
    <w:p w:rsidR="00B6560D" w:rsidRDefault="00626ED5">
      <w:pPr>
        <w:pStyle w:val="af"/>
        <w:spacing w:before="120" w:after="120" w:line="360" w:lineRule="auto"/>
        <w:ind w:firstLineChars="200" w:firstLine="482"/>
        <w:contextualSpacing/>
        <w:rPr>
          <w:rFonts w:asciiTheme="minorEastAsia" w:eastAsiaTheme="minorEastAsia" w:hAnsiTheme="minorEastAsia"/>
          <w:sz w:val="24"/>
          <w:szCs w:val="24"/>
        </w:rPr>
      </w:pPr>
      <w:r>
        <w:rPr>
          <w:rFonts w:asciiTheme="minorEastAsia" w:eastAsiaTheme="minorEastAsia" w:hAnsiTheme="minorEastAsia"/>
          <w:b/>
          <w:sz w:val="24"/>
          <w:szCs w:val="24"/>
        </w:rPr>
        <w:t>二</w:t>
      </w:r>
      <w:r>
        <w:rPr>
          <w:rFonts w:asciiTheme="minorEastAsia" w:eastAsiaTheme="minorEastAsia" w:hAnsiTheme="minorEastAsia" w:hint="eastAsia"/>
          <w:b/>
          <w:sz w:val="24"/>
          <w:szCs w:val="24"/>
        </w:rPr>
        <w:t>、本次对外投资暨关联交易的进展</w:t>
      </w:r>
    </w:p>
    <w:p w:rsidR="00B6560D" w:rsidRDefault="00626ED5">
      <w:pPr>
        <w:pStyle w:val="af"/>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公司于20</w:t>
      </w:r>
      <w:r>
        <w:rPr>
          <w:rFonts w:asciiTheme="minorEastAsia" w:eastAsiaTheme="minorEastAsia" w:hAnsiTheme="minorEastAsia"/>
          <w:sz w:val="24"/>
          <w:szCs w:val="24"/>
        </w:rPr>
        <w:t>23</w:t>
      </w:r>
      <w:r>
        <w:rPr>
          <w:rFonts w:asciiTheme="minorEastAsia" w:eastAsiaTheme="minorEastAsia" w:hAnsiTheme="minorEastAsia" w:hint="eastAsia"/>
          <w:sz w:val="24"/>
          <w:szCs w:val="24"/>
        </w:rPr>
        <w:t>年</w:t>
      </w:r>
      <w:r>
        <w:rPr>
          <w:rFonts w:asciiTheme="minorEastAsia" w:eastAsiaTheme="minorEastAsia" w:hAnsiTheme="minorEastAsia"/>
          <w:sz w:val="24"/>
          <w:szCs w:val="24"/>
        </w:rPr>
        <w:t>3</w:t>
      </w:r>
      <w:r w:rsidR="006A2869">
        <w:rPr>
          <w:rFonts w:asciiTheme="minorEastAsia" w:eastAsiaTheme="minorEastAsia" w:hAnsiTheme="minorEastAsia" w:hint="eastAsia"/>
          <w:sz w:val="24"/>
          <w:szCs w:val="24"/>
        </w:rPr>
        <w:t>月9</w:t>
      </w:r>
      <w:r>
        <w:rPr>
          <w:rFonts w:asciiTheme="minorEastAsia" w:eastAsiaTheme="minorEastAsia" w:hAnsiTheme="minorEastAsia" w:hint="eastAsia"/>
          <w:sz w:val="24"/>
          <w:szCs w:val="24"/>
        </w:rPr>
        <w:t>日与有关各方正式签署了《关于长睿生物技术（成都）有限公司之合作框架协议》</w:t>
      </w:r>
      <w:r w:rsidR="0059038D">
        <w:rPr>
          <w:rFonts w:asciiTheme="minorEastAsia" w:eastAsiaTheme="minorEastAsia" w:hAnsiTheme="minorEastAsia" w:hint="eastAsia"/>
          <w:sz w:val="24"/>
          <w:szCs w:val="24"/>
        </w:rPr>
        <w:t>（以下简称“合作框架协议”或“本协议”）</w:t>
      </w:r>
      <w:r w:rsidR="00025A50">
        <w:rPr>
          <w:rFonts w:asciiTheme="minorEastAsia" w:eastAsiaTheme="minorEastAsia" w:hAnsiTheme="minorEastAsia" w:hint="eastAsia"/>
          <w:sz w:val="24"/>
          <w:szCs w:val="24"/>
        </w:rPr>
        <w:t>及《</w:t>
      </w:r>
      <w:r w:rsidR="00025A50" w:rsidRPr="00025A50">
        <w:rPr>
          <w:rFonts w:asciiTheme="minorEastAsia" w:eastAsiaTheme="minorEastAsia" w:hAnsiTheme="minorEastAsia" w:hint="eastAsia"/>
          <w:sz w:val="24"/>
          <w:szCs w:val="24"/>
        </w:rPr>
        <w:t>关于长睿生物技术（成都）有限公司之增资协议</w:t>
      </w:r>
      <w:r w:rsidR="00025A50">
        <w:rPr>
          <w:rFonts w:asciiTheme="minorEastAsia" w:eastAsiaTheme="minorEastAsia" w:hAnsiTheme="minorEastAsia" w:hint="eastAsia"/>
          <w:sz w:val="24"/>
          <w:szCs w:val="24"/>
        </w:rPr>
        <w:t>》</w:t>
      </w:r>
      <w:r w:rsidR="0059038D">
        <w:rPr>
          <w:rFonts w:asciiTheme="minorEastAsia" w:eastAsiaTheme="minorEastAsia" w:hAnsiTheme="minorEastAsia" w:hint="eastAsia"/>
          <w:sz w:val="24"/>
          <w:szCs w:val="24"/>
        </w:rPr>
        <w:t>（以下简称“增资协议”）</w:t>
      </w:r>
      <w:r>
        <w:rPr>
          <w:rFonts w:asciiTheme="minorEastAsia" w:eastAsiaTheme="minorEastAsia" w:hAnsiTheme="minorEastAsia" w:hint="eastAsia"/>
          <w:sz w:val="24"/>
          <w:szCs w:val="24"/>
        </w:rPr>
        <w:t>，现将具体内容公告如下：</w:t>
      </w:r>
    </w:p>
    <w:p w:rsidR="00B6560D" w:rsidRDefault="00626ED5">
      <w:pPr>
        <w:pStyle w:val="af"/>
        <w:spacing w:line="360" w:lineRule="auto"/>
        <w:ind w:firstLineChars="200" w:firstLine="482"/>
        <w:rPr>
          <w:rFonts w:ascii="宋体" w:hAnsi="宋体"/>
          <w:b/>
          <w:sz w:val="24"/>
          <w:szCs w:val="24"/>
        </w:rPr>
      </w:pPr>
      <w:r>
        <w:rPr>
          <w:rFonts w:ascii="宋体" w:hAnsi="宋体" w:hint="eastAsia"/>
          <w:b/>
          <w:sz w:val="24"/>
          <w:szCs w:val="24"/>
        </w:rPr>
        <w:t>（一）协议主体</w:t>
      </w:r>
    </w:p>
    <w:p w:rsidR="00B6560D" w:rsidRDefault="00626ED5">
      <w:pPr>
        <w:pStyle w:val="af"/>
        <w:spacing w:line="360" w:lineRule="auto"/>
        <w:ind w:firstLineChars="200" w:firstLine="480"/>
        <w:rPr>
          <w:rFonts w:ascii="宋体" w:hAnsi="宋体"/>
          <w:sz w:val="24"/>
          <w:szCs w:val="24"/>
        </w:rPr>
      </w:pPr>
      <w:r>
        <w:rPr>
          <w:rFonts w:ascii="宋体" w:hAnsi="宋体" w:hint="eastAsia"/>
          <w:sz w:val="24"/>
          <w:szCs w:val="24"/>
        </w:rPr>
        <w:t>甲方：</w:t>
      </w:r>
      <w:r>
        <w:rPr>
          <w:rFonts w:ascii="宋体" w:hAnsi="宋体" w:cs="楷体" w:hint="eastAsia"/>
          <w:bCs/>
          <w:sz w:val="24"/>
        </w:rPr>
        <w:t>山东步长制药股份有限公司</w:t>
      </w:r>
    </w:p>
    <w:p w:rsidR="00B6560D" w:rsidRDefault="00626ED5">
      <w:pPr>
        <w:pStyle w:val="af"/>
        <w:spacing w:line="360" w:lineRule="auto"/>
        <w:ind w:firstLineChars="200" w:firstLine="480"/>
        <w:rPr>
          <w:rFonts w:ascii="宋体" w:hAnsi="宋体"/>
          <w:sz w:val="24"/>
          <w:szCs w:val="24"/>
        </w:rPr>
      </w:pPr>
      <w:r>
        <w:rPr>
          <w:rFonts w:ascii="宋体" w:hAnsi="宋体" w:hint="eastAsia"/>
          <w:sz w:val="24"/>
          <w:szCs w:val="24"/>
        </w:rPr>
        <w:t>乙方（</w:t>
      </w:r>
      <w:r>
        <w:rPr>
          <w:rFonts w:ascii="宋体" w:hAnsi="宋体" w:cs="楷体" w:hint="eastAsia"/>
          <w:sz w:val="24"/>
        </w:rPr>
        <w:t>乙方一、乙方二、乙方三合称为“乙方”</w:t>
      </w:r>
      <w:r>
        <w:rPr>
          <w:rFonts w:ascii="宋体" w:hAnsi="宋体" w:hint="eastAsia"/>
          <w:sz w:val="24"/>
          <w:szCs w:val="24"/>
        </w:rPr>
        <w:t>）</w:t>
      </w:r>
    </w:p>
    <w:p w:rsidR="00B6560D" w:rsidRDefault="00626ED5">
      <w:pPr>
        <w:pStyle w:val="af"/>
        <w:spacing w:line="360" w:lineRule="auto"/>
        <w:ind w:firstLineChars="200" w:firstLine="480"/>
        <w:rPr>
          <w:rFonts w:ascii="宋体" w:hAnsi="宋体"/>
          <w:sz w:val="24"/>
          <w:szCs w:val="24"/>
        </w:rPr>
      </w:pPr>
      <w:r>
        <w:rPr>
          <w:rFonts w:ascii="宋体" w:hAnsi="宋体" w:cs="楷体" w:hint="eastAsia"/>
          <w:sz w:val="24"/>
        </w:rPr>
        <w:t>乙方一：杨春</w:t>
      </w:r>
    </w:p>
    <w:p w:rsidR="00B6560D" w:rsidRDefault="00626ED5">
      <w:pPr>
        <w:pStyle w:val="af"/>
        <w:spacing w:line="360" w:lineRule="auto"/>
        <w:ind w:firstLineChars="200" w:firstLine="480"/>
        <w:rPr>
          <w:rFonts w:ascii="宋体" w:hAnsi="宋体"/>
          <w:sz w:val="24"/>
          <w:szCs w:val="24"/>
        </w:rPr>
      </w:pPr>
      <w:r>
        <w:rPr>
          <w:rFonts w:ascii="宋体" w:hAnsi="宋体" w:cs="楷体" w:hint="eastAsia"/>
          <w:sz w:val="24"/>
        </w:rPr>
        <w:lastRenderedPageBreak/>
        <w:t>乙方二：蒲晓平</w:t>
      </w:r>
    </w:p>
    <w:p w:rsidR="00B6560D" w:rsidRDefault="00626ED5">
      <w:pPr>
        <w:pStyle w:val="af"/>
        <w:spacing w:line="360" w:lineRule="auto"/>
        <w:ind w:firstLineChars="200" w:firstLine="480"/>
        <w:rPr>
          <w:rFonts w:ascii="宋体" w:hAnsi="宋体"/>
          <w:sz w:val="24"/>
          <w:szCs w:val="24"/>
        </w:rPr>
      </w:pPr>
      <w:r>
        <w:rPr>
          <w:rFonts w:ascii="宋体" w:hAnsi="宋体" w:cs="楷体" w:hint="eastAsia"/>
          <w:sz w:val="24"/>
        </w:rPr>
        <w:t>乙方三：马崇旭</w:t>
      </w:r>
    </w:p>
    <w:p w:rsidR="00B6560D" w:rsidRDefault="00626ED5">
      <w:pPr>
        <w:pStyle w:val="af"/>
        <w:spacing w:line="360" w:lineRule="auto"/>
        <w:ind w:firstLineChars="200" w:firstLine="480"/>
        <w:rPr>
          <w:rFonts w:ascii="宋体" w:hAnsi="宋体"/>
          <w:sz w:val="24"/>
          <w:szCs w:val="24"/>
        </w:rPr>
      </w:pPr>
      <w:r>
        <w:rPr>
          <w:rFonts w:ascii="宋体" w:hAnsi="宋体" w:cs="楷体" w:hint="eastAsia"/>
          <w:sz w:val="24"/>
        </w:rPr>
        <w:t>丙方：成都远睿生物技术有限公司</w:t>
      </w:r>
      <w:r>
        <w:rPr>
          <w:rFonts w:ascii="宋体" w:hAnsi="宋体" w:cs="楷体" w:hint="eastAsia"/>
          <w:bCs/>
          <w:sz w:val="24"/>
        </w:rPr>
        <w:t>（以下简称“</w:t>
      </w:r>
      <w:r>
        <w:rPr>
          <w:rFonts w:ascii="宋体" w:hAnsi="宋体" w:cs="楷体" w:hint="eastAsia"/>
          <w:sz w:val="24"/>
        </w:rPr>
        <w:t>成都远睿</w:t>
      </w:r>
      <w:r>
        <w:rPr>
          <w:rFonts w:ascii="宋体" w:hAnsi="宋体" w:cs="楷体" w:hint="eastAsia"/>
          <w:bCs/>
          <w:sz w:val="24"/>
        </w:rPr>
        <w:t>”）</w:t>
      </w:r>
    </w:p>
    <w:p w:rsidR="00B6560D" w:rsidRDefault="00626ED5">
      <w:pPr>
        <w:pStyle w:val="af"/>
        <w:spacing w:line="360" w:lineRule="auto"/>
        <w:ind w:firstLineChars="200" w:firstLine="480"/>
        <w:rPr>
          <w:rFonts w:ascii="宋体" w:hAnsi="宋体"/>
          <w:sz w:val="24"/>
          <w:szCs w:val="24"/>
        </w:rPr>
      </w:pPr>
      <w:r>
        <w:rPr>
          <w:rFonts w:ascii="宋体" w:hAnsi="宋体" w:cs="楷体" w:hint="eastAsia"/>
          <w:sz w:val="24"/>
        </w:rPr>
        <w:t>丁方：长睿生物技术（成都）有限公司（以下简称“长睿生物”）</w:t>
      </w:r>
    </w:p>
    <w:p w:rsidR="00B6560D" w:rsidRDefault="00626ED5">
      <w:pPr>
        <w:spacing w:beforeLines="25" w:before="60" w:afterLines="25" w:after="60" w:line="360" w:lineRule="auto"/>
        <w:ind w:firstLineChars="200" w:firstLine="480"/>
        <w:rPr>
          <w:rFonts w:ascii="宋体" w:hAnsi="宋体" w:cs="楷体"/>
          <w:sz w:val="24"/>
        </w:rPr>
      </w:pPr>
      <w:r>
        <w:rPr>
          <w:rFonts w:ascii="宋体" w:hAnsi="宋体" w:cs="楷体" w:hint="eastAsia"/>
          <w:sz w:val="24"/>
        </w:rPr>
        <w:t>戊方：邓飞</w:t>
      </w:r>
    </w:p>
    <w:p w:rsidR="00B6560D" w:rsidRDefault="00626ED5">
      <w:pPr>
        <w:pStyle w:val="af"/>
        <w:spacing w:line="360" w:lineRule="auto"/>
        <w:ind w:firstLineChars="200" w:firstLine="480"/>
        <w:rPr>
          <w:rFonts w:ascii="宋体" w:hAnsi="宋体"/>
          <w:sz w:val="24"/>
          <w:szCs w:val="24"/>
        </w:rPr>
      </w:pPr>
      <w:r>
        <w:rPr>
          <w:rFonts w:ascii="宋体" w:hAnsi="宋体" w:hint="eastAsia"/>
          <w:sz w:val="24"/>
          <w:szCs w:val="24"/>
        </w:rPr>
        <w:t>在本协议中，甲方、乙方、丙方、丁方、戊方合称“各方”，单称“一方”。</w:t>
      </w:r>
    </w:p>
    <w:p w:rsidR="00B6560D" w:rsidRDefault="00626ED5">
      <w:pPr>
        <w:pStyle w:val="af"/>
        <w:spacing w:line="360" w:lineRule="auto"/>
        <w:ind w:firstLineChars="200" w:firstLine="482"/>
        <w:rPr>
          <w:rFonts w:ascii="宋体" w:hAnsi="宋体"/>
          <w:b/>
          <w:sz w:val="24"/>
          <w:szCs w:val="24"/>
        </w:rPr>
      </w:pPr>
      <w:r>
        <w:rPr>
          <w:rFonts w:ascii="宋体" w:hAnsi="宋体" w:hint="eastAsia"/>
          <w:b/>
          <w:sz w:val="24"/>
          <w:szCs w:val="24"/>
        </w:rPr>
        <w:t>（二）</w:t>
      </w:r>
      <w:r w:rsidR="006A2869">
        <w:rPr>
          <w:rFonts w:ascii="宋体" w:hAnsi="宋体" w:hint="eastAsia"/>
          <w:b/>
          <w:sz w:val="24"/>
          <w:szCs w:val="24"/>
        </w:rPr>
        <w:t>交易</w:t>
      </w:r>
      <w:r>
        <w:rPr>
          <w:rFonts w:ascii="宋体" w:hAnsi="宋体" w:hint="eastAsia"/>
          <w:b/>
          <w:sz w:val="24"/>
          <w:szCs w:val="24"/>
        </w:rPr>
        <w:t>安排</w:t>
      </w:r>
    </w:p>
    <w:p w:rsidR="00B6560D" w:rsidRDefault="00626ED5">
      <w:pPr>
        <w:pStyle w:val="af"/>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成都远睿拟将各方商定的全部资产（包括但不限于拥有的有形资产、以及全部的专利、商标及技术秘密等无形资产、其他有形资产等）及业务出资、转移至长睿生物（以下简称“本次资产注入”）。</w:t>
      </w:r>
    </w:p>
    <w:p w:rsidR="00B6560D" w:rsidRDefault="00626ED5">
      <w:pPr>
        <w:pStyle w:val="af"/>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成都远睿将拟出资资产(有形资产和无形资产等）和业务全部注入长睿生物后（即成都远睿完成注册资本实缴义务），甲方按照信永中和会计师事务所（特殊普通合伙）（以下简称“信永中和”）出具的《长睿生物技术(成都)有限责任公司2022年04月30日验资报告》（XYZH/2022CDAA30380）、《长睿生物技术（成都）有限公司2021年度、2022年1-5月审计报告》（XYZH/2022CDAA30391）（以下简称“审计报告”）、上海众华资产评估有限公司（以下简称“众华评估”）出具的《山东步长制药股份有限公司拟股权收购所涉及的长睿生物技术（成都）有限公司股东全部权益价值资产评估报告》（沪众评报字（2022）第0166号）（以下简称“评估报告”）确定的企业整体评估值36,609,155.78元对长睿生物进行增资，增资总额为6,400万元，增资完成后甲方持有长睿生物64%股权，增资价格为1元/股，溢价率为-1.66%（以下简称“本次增资”）。本次增资完成后，长睿生物的注册资本将增至10,000万元。</w:t>
      </w:r>
    </w:p>
    <w:p w:rsidR="00B6560D" w:rsidRDefault="00626ED5">
      <w:pPr>
        <w:spacing w:line="360" w:lineRule="auto"/>
        <w:ind w:firstLineChars="200" w:firstLine="480"/>
        <w:rPr>
          <w:rFonts w:ascii="楷体" w:eastAsia="楷体" w:hAnsi="楷体" w:cs="楷体"/>
          <w:b/>
          <w:color w:val="FF0000"/>
          <w:sz w:val="24"/>
        </w:rPr>
      </w:pPr>
      <w:r>
        <w:rPr>
          <w:rFonts w:asciiTheme="minorEastAsia" w:eastAsiaTheme="minorEastAsia" w:hAnsiTheme="minorEastAsia" w:hint="eastAsia"/>
          <w:sz w:val="24"/>
          <w:szCs w:val="24"/>
        </w:rPr>
        <w:t>本次增资完成后，甲方拟根据长睿生物企业整体估值（约10,000万元，具体以实际出具的评估报告及各方协商结果为准）再次受让成都远睿持有的长睿生物8%的股权（相当于800万元的注册资本）；并且自然人杨春及蒲晓平拟按照上市公司跟投制度进行跟投，拟分别受让成都远睿持有的长睿生物1%的股权（相当于100万元的注册资本）、马崇旭拟受让成都远睿持有的长睿生物0.1%的股权（相当于10万元的注册资本）（以下简称“本次股权转让”）。</w:t>
      </w:r>
    </w:p>
    <w:p w:rsidR="00B6560D" w:rsidRPr="006A2869" w:rsidRDefault="00626ED5">
      <w:pPr>
        <w:pStyle w:val="af"/>
        <w:spacing w:line="360" w:lineRule="auto"/>
        <w:ind w:firstLineChars="200" w:firstLine="480"/>
        <w:rPr>
          <w:rFonts w:asciiTheme="minorEastAsia" w:eastAsiaTheme="minorEastAsia" w:hAnsiTheme="minorEastAsia"/>
          <w:sz w:val="24"/>
          <w:szCs w:val="24"/>
        </w:rPr>
      </w:pPr>
      <w:r w:rsidRPr="006A2869">
        <w:rPr>
          <w:rFonts w:asciiTheme="minorEastAsia" w:eastAsiaTheme="minorEastAsia" w:hAnsiTheme="minorEastAsia" w:hint="eastAsia"/>
          <w:sz w:val="24"/>
          <w:szCs w:val="24"/>
        </w:rPr>
        <w:t>本次资产注入、本次增资和本次股权转让合称“本次交易”。本次资产注入、</w:t>
      </w:r>
      <w:r w:rsidRPr="006A2869">
        <w:rPr>
          <w:rFonts w:asciiTheme="minorEastAsia" w:eastAsiaTheme="minorEastAsia" w:hAnsiTheme="minorEastAsia" w:hint="eastAsia"/>
          <w:sz w:val="24"/>
          <w:szCs w:val="24"/>
        </w:rPr>
        <w:lastRenderedPageBreak/>
        <w:t>本次增资、本次股权转让为一个整体，互为前提、互为条件。如有任何一项因任何原因未能实施或解除，则其他交易也不再实施或相应解除。</w:t>
      </w:r>
    </w:p>
    <w:p w:rsidR="00B6560D" w:rsidRDefault="00025A50">
      <w:pPr>
        <w:pStyle w:val="af"/>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（三）增资</w:t>
      </w:r>
      <w:r w:rsidR="00626ED5">
        <w:rPr>
          <w:rFonts w:asciiTheme="minorEastAsia" w:eastAsiaTheme="minorEastAsia" w:hAnsiTheme="minorEastAsia" w:hint="eastAsia"/>
          <w:b/>
          <w:sz w:val="24"/>
          <w:szCs w:val="24"/>
        </w:rPr>
        <w:t>及增资完成后股权转让协议</w:t>
      </w:r>
    </w:p>
    <w:p w:rsidR="00B6560D" w:rsidRPr="006A2869" w:rsidRDefault="00626ED5">
      <w:pPr>
        <w:pStyle w:val="af"/>
        <w:spacing w:line="360" w:lineRule="auto"/>
        <w:ind w:firstLineChars="200" w:firstLine="480"/>
        <w:rPr>
          <w:rFonts w:asciiTheme="minorEastAsia" w:eastAsiaTheme="minorEastAsia" w:hAnsiTheme="minorEastAsia"/>
          <w:sz w:val="24"/>
          <w:szCs w:val="24"/>
        </w:rPr>
      </w:pPr>
      <w:r w:rsidRPr="006A2869">
        <w:rPr>
          <w:rFonts w:asciiTheme="minorEastAsia" w:eastAsiaTheme="minorEastAsia" w:hAnsiTheme="minorEastAsia" w:hint="eastAsia"/>
          <w:sz w:val="24"/>
          <w:szCs w:val="24"/>
        </w:rPr>
        <w:t>各方确认并同意：本协议相关各方应分别签署关于本次交易之增资协议、增资完成后股权转让协议（以下简称“《股权转让协议》”）。本协议、《增资协议》、《股权转让协议》为本次交易的整体协议，三份协议互为前提、互为条件，如有任何一份协议因任何原因无效或被解除，则其他协议也相应无效或被解除。</w:t>
      </w:r>
    </w:p>
    <w:p w:rsidR="00B6560D" w:rsidRDefault="00626ED5">
      <w:pPr>
        <w:pStyle w:val="af"/>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成都远睿、长睿生物、邓飞分别且连带地保证，在本次增资、及增资完成后本次股权转让条件满足后五个工作日内，成都远睿、长睿生物、邓飞应向主管工商登记机关提交本次增资、本次股权转让的工商变更登记资料。长睿生物办理完成本次增资的工商登记并取得换发的《营业执照》视为本次增资完成。长睿生物办理完成本次股权转让的工商登记视为本次股权转让完成。长睿生物办理完成本次增资、本次股权转让的工商登记、取得换发的《营业执照》并且本次资产注入完成后等视为本次交易完成。</w:t>
      </w:r>
    </w:p>
    <w:p w:rsidR="00B6560D" w:rsidRDefault="00626ED5">
      <w:pPr>
        <w:pStyle w:val="af"/>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（四）人员安排</w:t>
      </w:r>
    </w:p>
    <w:p w:rsidR="00B6560D" w:rsidRDefault="00626ED5">
      <w:pPr>
        <w:pStyle w:val="af"/>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增资完成后，长睿生物的董事会由三名董事组成，其中甲方有权推荐2名董事候选人，成都远睿有权推荐1名董事候选人，并且长睿生物董事长、法定代表人由甲方推荐董事候选人担任并由董事会选举产生。长睿生物不设监事会，设一名监事，由甲方推荐监事候选人。本次增资完成后3</w:t>
      </w:r>
      <w:r w:rsidR="00025A50">
        <w:rPr>
          <w:rFonts w:asciiTheme="minorEastAsia" w:eastAsiaTheme="minorEastAsia" w:hAnsiTheme="minorEastAsia" w:hint="eastAsia"/>
          <w:sz w:val="24"/>
          <w:szCs w:val="24"/>
        </w:rPr>
        <w:t>年内，长睿生物</w:t>
      </w:r>
      <w:r>
        <w:rPr>
          <w:rFonts w:asciiTheme="minorEastAsia" w:eastAsiaTheme="minorEastAsia" w:hAnsiTheme="minorEastAsia" w:hint="eastAsia"/>
          <w:sz w:val="24"/>
          <w:szCs w:val="24"/>
        </w:rPr>
        <w:t>总经理、生产副总、技术总监、质量总监</w:t>
      </w:r>
      <w:r w:rsidR="00025A50">
        <w:rPr>
          <w:rFonts w:asciiTheme="minorEastAsia" w:eastAsiaTheme="minorEastAsia" w:hAnsiTheme="minorEastAsia" w:hint="eastAsia"/>
          <w:sz w:val="24"/>
          <w:szCs w:val="24"/>
        </w:rPr>
        <w:t>、科研副总由成都远睿推荐人员担任，并由董事会聘任或解聘，长睿生物</w:t>
      </w:r>
      <w:r>
        <w:rPr>
          <w:rFonts w:asciiTheme="minorEastAsia" w:eastAsiaTheme="minorEastAsia" w:hAnsiTheme="minorEastAsia" w:hint="eastAsia"/>
          <w:sz w:val="24"/>
          <w:szCs w:val="24"/>
        </w:rPr>
        <w:t>财务总监、行政总监由甲方推荐人员担任，并由董事会聘任产生。</w:t>
      </w:r>
    </w:p>
    <w:p w:rsidR="00B6560D" w:rsidRDefault="00626ED5">
      <w:pPr>
        <w:pStyle w:val="af"/>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为确保长睿生物的正常经营、资金安全，甲方有权在本次增资完成前、及本次增资完成后股权转让完成前提前委派相关董事、监事、高级管理人员。</w:t>
      </w:r>
    </w:p>
    <w:p w:rsidR="00AB094D" w:rsidRPr="006A2869" w:rsidRDefault="00AB094D" w:rsidP="00AB094D">
      <w:pPr>
        <w:pStyle w:val="af"/>
        <w:spacing w:line="360" w:lineRule="auto"/>
        <w:ind w:firstLineChars="200" w:firstLine="482"/>
        <w:rPr>
          <w:rFonts w:asciiTheme="minorEastAsia" w:eastAsiaTheme="minorEastAsia" w:hAnsiTheme="minorEastAsia"/>
          <w:b/>
          <w:sz w:val="24"/>
          <w:szCs w:val="24"/>
        </w:rPr>
      </w:pPr>
      <w:r w:rsidRPr="006A2869">
        <w:rPr>
          <w:rFonts w:asciiTheme="minorEastAsia" w:eastAsiaTheme="minorEastAsia" w:hAnsiTheme="minorEastAsia" w:hint="eastAsia"/>
          <w:b/>
          <w:sz w:val="24"/>
          <w:szCs w:val="24"/>
        </w:rPr>
        <w:t>（五）投后管理</w:t>
      </w:r>
    </w:p>
    <w:p w:rsidR="00AB094D" w:rsidRPr="006A2869" w:rsidRDefault="00AB094D" w:rsidP="00AB094D">
      <w:pPr>
        <w:pStyle w:val="af"/>
        <w:spacing w:line="360" w:lineRule="auto"/>
        <w:ind w:firstLineChars="200" w:firstLine="480"/>
        <w:rPr>
          <w:rFonts w:asciiTheme="minorEastAsia" w:eastAsiaTheme="minorEastAsia" w:hAnsiTheme="minorEastAsia"/>
          <w:sz w:val="24"/>
          <w:szCs w:val="24"/>
        </w:rPr>
      </w:pPr>
      <w:r w:rsidRPr="006A2869">
        <w:rPr>
          <w:rFonts w:asciiTheme="minorEastAsia" w:eastAsiaTheme="minorEastAsia" w:hAnsiTheme="minorEastAsia" w:hint="eastAsia"/>
          <w:sz w:val="24"/>
          <w:szCs w:val="24"/>
        </w:rPr>
        <w:t>在甲方增资完成后，成都远睿、长睿生物、邓飞积极配合甲方严格按照法律法规、证监会/上交所有关上市公司监管要求及甲方公司制度等规定，开展本次交易的投后管理工作，包括但不限于：</w:t>
      </w:r>
    </w:p>
    <w:p w:rsidR="00AB094D" w:rsidRPr="006A2869" w:rsidRDefault="00AB094D" w:rsidP="00AB094D">
      <w:pPr>
        <w:pStyle w:val="af"/>
        <w:spacing w:line="360" w:lineRule="auto"/>
        <w:ind w:firstLineChars="200" w:firstLine="480"/>
        <w:rPr>
          <w:rFonts w:asciiTheme="minorEastAsia" w:eastAsiaTheme="minorEastAsia" w:hAnsiTheme="minorEastAsia"/>
          <w:sz w:val="24"/>
          <w:szCs w:val="24"/>
        </w:rPr>
      </w:pPr>
      <w:r w:rsidRPr="006A2869">
        <w:rPr>
          <w:rFonts w:asciiTheme="minorEastAsia" w:eastAsiaTheme="minorEastAsia" w:hAnsiTheme="minorEastAsia"/>
          <w:sz w:val="24"/>
          <w:szCs w:val="24"/>
        </w:rPr>
        <w:t>1</w:t>
      </w:r>
      <w:r w:rsidRPr="006A2869">
        <w:rPr>
          <w:rFonts w:asciiTheme="minorEastAsia" w:eastAsiaTheme="minorEastAsia" w:hAnsiTheme="minorEastAsia" w:hint="eastAsia"/>
          <w:sz w:val="24"/>
          <w:szCs w:val="24"/>
        </w:rPr>
        <w:t>、配合甲方业务、生产、财务、科研、采购、销售、内审、人事、知识产权、企业文化及其他相关部门开展相关投后管理工作，包括但不限于提供相关信</w:t>
      </w:r>
      <w:r w:rsidRPr="006A2869">
        <w:rPr>
          <w:rFonts w:asciiTheme="minorEastAsia" w:eastAsiaTheme="minorEastAsia" w:hAnsiTheme="minorEastAsia" w:hint="eastAsia"/>
          <w:sz w:val="24"/>
          <w:szCs w:val="24"/>
        </w:rPr>
        <w:lastRenderedPageBreak/>
        <w:t>息、资料、回复问询、建立投后管理档案等；对甲方提出的质询，如实反映情况和说明原因；安排专人与甲方各部门沟通与对接，实现甲方的制度和文化落地；优势互补，利于公司的发展；</w:t>
      </w:r>
    </w:p>
    <w:p w:rsidR="00AB094D" w:rsidRPr="006A2869" w:rsidRDefault="00AB094D" w:rsidP="00AB094D">
      <w:pPr>
        <w:pStyle w:val="af"/>
        <w:spacing w:line="360" w:lineRule="auto"/>
        <w:ind w:firstLineChars="200" w:firstLine="480"/>
        <w:rPr>
          <w:rFonts w:asciiTheme="minorEastAsia" w:eastAsiaTheme="minorEastAsia" w:hAnsiTheme="minorEastAsia"/>
          <w:sz w:val="24"/>
          <w:szCs w:val="24"/>
        </w:rPr>
      </w:pPr>
      <w:r w:rsidRPr="006A2869">
        <w:rPr>
          <w:rFonts w:asciiTheme="minorEastAsia" w:eastAsiaTheme="minorEastAsia" w:hAnsiTheme="minorEastAsia" w:hint="eastAsia"/>
          <w:sz w:val="24"/>
          <w:szCs w:val="24"/>
        </w:rPr>
        <w:t>2、长睿生物根据国家法律法规及甲方财务制度的规定，确保会计资料的合法性、真实性、完整性和及时性，接受甲方财务部、内部审计的业务指导和监督，并及时递交财务报表、年度报告等财务资料；对于审计等部门发现的问题和风险，必须及时认真整改并接受后续审计跟踪；</w:t>
      </w:r>
    </w:p>
    <w:p w:rsidR="00AB094D" w:rsidRPr="006A2869" w:rsidRDefault="00AB094D" w:rsidP="00AB094D">
      <w:pPr>
        <w:pStyle w:val="af"/>
        <w:spacing w:line="360" w:lineRule="auto"/>
        <w:ind w:firstLineChars="200" w:firstLine="480"/>
        <w:rPr>
          <w:rFonts w:asciiTheme="minorEastAsia" w:eastAsiaTheme="minorEastAsia" w:hAnsiTheme="minorEastAsia"/>
          <w:sz w:val="24"/>
          <w:szCs w:val="24"/>
        </w:rPr>
      </w:pPr>
      <w:r w:rsidRPr="006A2869">
        <w:rPr>
          <w:rFonts w:asciiTheme="minorEastAsia" w:eastAsiaTheme="minorEastAsia" w:hAnsiTheme="minorEastAsia" w:hint="eastAsia"/>
          <w:sz w:val="24"/>
          <w:szCs w:val="24"/>
        </w:rPr>
        <w:t>3、长睿生物在决定和处理重大事项时，必须按照甲方有关规定的程序和权限进行，并事先报告甲方决策审核。重大事项以《合作框架协议》、《公司章程》的约定为准；</w:t>
      </w:r>
    </w:p>
    <w:p w:rsidR="00AB094D" w:rsidRPr="006A2869" w:rsidRDefault="00AB094D" w:rsidP="00AB094D">
      <w:pPr>
        <w:pStyle w:val="af"/>
        <w:spacing w:line="360" w:lineRule="auto"/>
        <w:ind w:firstLineChars="200" w:firstLine="480"/>
        <w:rPr>
          <w:rFonts w:asciiTheme="minorEastAsia" w:eastAsiaTheme="minorEastAsia" w:hAnsiTheme="minorEastAsia"/>
          <w:sz w:val="24"/>
          <w:szCs w:val="24"/>
        </w:rPr>
      </w:pPr>
      <w:r w:rsidRPr="006A2869">
        <w:rPr>
          <w:rFonts w:asciiTheme="minorEastAsia" w:eastAsiaTheme="minorEastAsia" w:hAnsiTheme="minorEastAsia" w:hint="eastAsia"/>
          <w:sz w:val="24"/>
          <w:szCs w:val="24"/>
        </w:rPr>
        <w:t>4、长睿生物依照甲方档案管理规定建立严格的档案管理制度，《公司章程》、股东会决议、董事会决议、营业执照、印章、政府部门有关批文、各类重大合同等重要文本，必须按照有关规定妥善保管；</w:t>
      </w:r>
    </w:p>
    <w:p w:rsidR="00AB094D" w:rsidRPr="006A2869" w:rsidRDefault="00AB094D" w:rsidP="00AB094D">
      <w:pPr>
        <w:pStyle w:val="af"/>
        <w:spacing w:line="360" w:lineRule="auto"/>
        <w:ind w:firstLineChars="200" w:firstLine="480"/>
        <w:rPr>
          <w:rFonts w:asciiTheme="minorEastAsia" w:eastAsiaTheme="minorEastAsia" w:hAnsiTheme="minorEastAsia"/>
          <w:sz w:val="24"/>
          <w:szCs w:val="24"/>
        </w:rPr>
      </w:pPr>
      <w:r w:rsidRPr="006A2869">
        <w:rPr>
          <w:rFonts w:asciiTheme="minorEastAsia" w:eastAsiaTheme="minorEastAsia" w:hAnsiTheme="minorEastAsia"/>
          <w:sz w:val="24"/>
          <w:szCs w:val="24"/>
        </w:rPr>
        <w:t>5</w:t>
      </w:r>
      <w:r w:rsidRPr="006A2869">
        <w:rPr>
          <w:rFonts w:asciiTheme="minorEastAsia" w:eastAsiaTheme="minorEastAsia" w:hAnsiTheme="minorEastAsia" w:hint="eastAsia"/>
          <w:sz w:val="24"/>
          <w:szCs w:val="24"/>
        </w:rPr>
        <w:t>、长睿生物</w:t>
      </w:r>
      <w:r w:rsidR="0059038D" w:rsidRPr="006A2869">
        <w:rPr>
          <w:rFonts w:asciiTheme="minorEastAsia" w:eastAsiaTheme="minorEastAsia" w:hAnsiTheme="minorEastAsia" w:hint="eastAsia"/>
          <w:sz w:val="24"/>
          <w:szCs w:val="24"/>
        </w:rPr>
        <w:t>财务、人事、企业文化、行政等部门应安排相应机构及</w:t>
      </w:r>
      <w:r w:rsidRPr="006A2869">
        <w:rPr>
          <w:rFonts w:asciiTheme="minorEastAsia" w:eastAsiaTheme="minorEastAsia" w:hAnsiTheme="minorEastAsia" w:hint="eastAsia"/>
          <w:sz w:val="24"/>
          <w:szCs w:val="24"/>
        </w:rPr>
        <w:t>专人对接甲方的各专业部门（财务部、总裁办、人资</w:t>
      </w:r>
      <w:r w:rsidR="0059038D" w:rsidRPr="006A2869">
        <w:rPr>
          <w:rFonts w:asciiTheme="minorEastAsia" w:eastAsiaTheme="minorEastAsia" w:hAnsiTheme="minorEastAsia" w:hint="eastAsia"/>
          <w:sz w:val="24"/>
          <w:szCs w:val="24"/>
        </w:rPr>
        <w:t>部、企业文化中心、采购部、审计部、工程办、科研部、生产系统等）</w:t>
      </w:r>
      <w:r w:rsidRPr="006A2869">
        <w:rPr>
          <w:rFonts w:asciiTheme="minorEastAsia" w:eastAsiaTheme="minorEastAsia" w:hAnsiTheme="minorEastAsia" w:hint="eastAsia"/>
          <w:sz w:val="24"/>
          <w:szCs w:val="24"/>
        </w:rPr>
        <w:t>及对接人</w:t>
      </w:r>
      <w:r w:rsidR="0059038D" w:rsidRPr="006A2869">
        <w:rPr>
          <w:rFonts w:asciiTheme="minorEastAsia" w:eastAsiaTheme="minorEastAsia" w:hAnsiTheme="minorEastAsia" w:hint="eastAsia"/>
          <w:sz w:val="24"/>
          <w:szCs w:val="24"/>
        </w:rPr>
        <w:t>，</w:t>
      </w:r>
      <w:r w:rsidRPr="006A2869">
        <w:rPr>
          <w:rFonts w:asciiTheme="minorEastAsia" w:eastAsiaTheme="minorEastAsia" w:hAnsiTheme="minorEastAsia" w:hint="eastAsia"/>
          <w:sz w:val="24"/>
          <w:szCs w:val="24"/>
        </w:rPr>
        <w:t>实现甲方的各种制度、文化落地；形成甲方与丁方的优势互补；</w:t>
      </w:r>
    </w:p>
    <w:p w:rsidR="00AB094D" w:rsidRPr="006A2869" w:rsidRDefault="00AB094D" w:rsidP="00AB094D">
      <w:pPr>
        <w:pStyle w:val="af"/>
        <w:spacing w:line="360" w:lineRule="auto"/>
        <w:ind w:firstLineChars="200" w:firstLine="480"/>
        <w:rPr>
          <w:rFonts w:asciiTheme="minorEastAsia" w:eastAsiaTheme="minorEastAsia" w:hAnsiTheme="minorEastAsia"/>
          <w:sz w:val="24"/>
          <w:szCs w:val="24"/>
        </w:rPr>
      </w:pPr>
      <w:r w:rsidRPr="006A2869">
        <w:rPr>
          <w:rFonts w:asciiTheme="minorEastAsia" w:eastAsiaTheme="minorEastAsia" w:hAnsiTheme="minorEastAsia" w:hint="eastAsia"/>
          <w:sz w:val="24"/>
          <w:szCs w:val="24"/>
        </w:rPr>
        <w:t>6、长睿生物指派专人负责对接长睿生物投后管理工作，组织、统筹、协调投后管理相关事项，落实和监督《合作框架协议》及其附件相关条款的执行。</w:t>
      </w:r>
    </w:p>
    <w:p w:rsidR="00B6560D" w:rsidRDefault="00AB094D">
      <w:pPr>
        <w:pStyle w:val="af"/>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（六</w:t>
      </w:r>
      <w:r w:rsidR="00626ED5">
        <w:rPr>
          <w:rFonts w:asciiTheme="minorEastAsia" w:eastAsiaTheme="minorEastAsia" w:hAnsiTheme="minorEastAsia" w:hint="eastAsia"/>
          <w:b/>
          <w:sz w:val="24"/>
          <w:szCs w:val="24"/>
        </w:rPr>
        <w:t>）交易价款的支付</w:t>
      </w:r>
    </w:p>
    <w:p w:rsidR="00B6560D" w:rsidRDefault="00626ED5">
      <w:pPr>
        <w:pStyle w:val="af"/>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1、增资款的具体支付方式如下：</w:t>
      </w:r>
    </w:p>
    <w:p w:rsidR="00B6560D" w:rsidRDefault="00626ED5">
      <w:pPr>
        <w:pStyle w:val="af"/>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各方同意，在符合本协议及相关借款协议约定条件的情况下，甲方向长睿生物提供借款，借款金额以各方实际签署的借款协议为准。在本协议约定的本次增资的条件全部满足、《增资协议》签订生效、本次增资工商变更登记完成、且本次增资工商变更登记完成前长睿生物、成都远睿、邓飞不存在违约的情况下，甲方有义务支付增资款，届时甲方有权将对长睿生物享有的债权（借款本金）转为甲方对长睿生物的增资款，不足部分，甲方于前述条款满足后30日内以现金形式支付长睿生物。</w:t>
      </w:r>
    </w:p>
    <w:p w:rsidR="00B6560D" w:rsidRDefault="00626ED5">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2、股权转让款的具体支付方式如下：</w:t>
      </w:r>
    </w:p>
    <w:p w:rsidR="00B6560D" w:rsidRDefault="00626ED5">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各方同意，在本协议本次股权转让的条件全部满足、《股权转让协议》签订</w:t>
      </w:r>
      <w:r>
        <w:rPr>
          <w:rFonts w:asciiTheme="minorEastAsia" w:eastAsiaTheme="minorEastAsia" w:hAnsiTheme="minorEastAsia" w:hint="eastAsia"/>
          <w:sz w:val="24"/>
          <w:szCs w:val="24"/>
        </w:rPr>
        <w:lastRenderedPageBreak/>
        <w:t>生效、本次股权转让工商变更登记完成、且在本次股权转让工商变更登记完成前长睿生物、成都远睿、邓飞不存在违约的情况下，甲方、乙方有义务支付股权转让款。若届时甲方、乙方对成都远睿享有债权，则甲方、乙方有权将对成都远睿享有的债权与甲方、乙方应向成都远睿支付的股权转让款进行抵销。不足部分，甲方于前述付款条件满足后30日内以现金形式支付至成都远睿。</w:t>
      </w:r>
    </w:p>
    <w:p w:rsidR="00B6560D" w:rsidRDefault="00626ED5">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3、增资款及股权转让款的用途</w:t>
      </w:r>
    </w:p>
    <w:p w:rsidR="00B6560D" w:rsidRDefault="00626ED5">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甲方本次增资款应用于长睿生物日常经营或甲方书面认可的其他用途。长睿生物使用增资款前应经其财务总监等财务部门审查，并经长睿生物董事长签字认可，需符合《中华人民共和国公司法》及《长睿生物技术（成都）有限公司章程》的相关规定。长睿生物违反本协议约定使用增资款的，长睿生物、成都远睿、邓飞应连带地将等额款项赔偿给甲方，并承担本协议项下的违约责任。</w:t>
      </w:r>
    </w:p>
    <w:p w:rsidR="00B6560D" w:rsidRDefault="00626ED5">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各方确认，股权转让款将用于成都远睿债务偿还、中介费用支付等其他欠款或甲方认可的其他用途。</w:t>
      </w:r>
    </w:p>
    <w:p w:rsidR="00B6560D" w:rsidRDefault="00626ED5">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4、交接</w:t>
      </w:r>
    </w:p>
    <w:p w:rsidR="00B6560D" w:rsidRDefault="00626ED5">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在本协议签署后十个工作日内，成都远睿、长睿生物、邓飞保证将长睿生物的财务印章、财务资料交由甲方或甲方委派的财务总监管理，公章、合同章及相关印鉴交给甲方或甲方委派的行政总监管理。</w:t>
      </w:r>
    </w:p>
    <w:p w:rsidR="00B6560D" w:rsidRDefault="00AB094D">
      <w:pPr>
        <w:pStyle w:val="af"/>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（七</w:t>
      </w:r>
      <w:r w:rsidR="00626ED5">
        <w:rPr>
          <w:rFonts w:asciiTheme="minorEastAsia" w:eastAsiaTheme="minorEastAsia" w:hAnsiTheme="minorEastAsia" w:hint="eastAsia"/>
          <w:b/>
          <w:sz w:val="24"/>
          <w:szCs w:val="24"/>
        </w:rPr>
        <w:t>）保密、违约责任</w:t>
      </w:r>
    </w:p>
    <w:p w:rsidR="00B6560D" w:rsidRDefault="00626ED5">
      <w:pPr>
        <w:pStyle w:val="af"/>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1、保密</w:t>
      </w:r>
    </w:p>
    <w:p w:rsidR="00B6560D" w:rsidRDefault="00626ED5">
      <w:pPr>
        <w:pStyle w:val="af"/>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各方一致同意，自本协议签署之日，除有关法律、法规规定或有管辖权的政府有关机构要求外，未经本协议各方的事先书面同意，任何一方及其雇员、顾问、中介机构或代理应对其已获得但尚未公布或以其他形式公开的、与本次交易相关的所有资料和文件(无论是财务、技术或其它方面的资料和文件)予以保密，亦不得向第三方(不包括本协议各方聘请的专业顾问和中介机构和/或各方的母公司、关联公司及投资方)和公众透露任何与本次交易有关的信息。</w:t>
      </w:r>
    </w:p>
    <w:p w:rsidR="00B6560D" w:rsidRDefault="00626ED5" w:rsidP="006A2869">
      <w:pPr>
        <w:pStyle w:val="af"/>
        <w:spacing w:line="360" w:lineRule="auto"/>
        <w:ind w:firstLineChars="200" w:firstLine="480"/>
        <w:rPr>
          <w:rFonts w:asciiTheme="minorEastAsia" w:eastAsiaTheme="minorEastAsia" w:hAnsiTheme="minorEastAsia"/>
          <w:sz w:val="24"/>
          <w:szCs w:val="24"/>
        </w:rPr>
      </w:pPr>
      <w:bookmarkStart w:id="0" w:name="_GoBack"/>
      <w:bookmarkEnd w:id="0"/>
      <w:r>
        <w:rPr>
          <w:rFonts w:asciiTheme="minorEastAsia" w:eastAsiaTheme="minorEastAsia" w:hAnsiTheme="minorEastAsia" w:hint="eastAsia"/>
          <w:sz w:val="24"/>
          <w:szCs w:val="24"/>
        </w:rPr>
        <w:t>2、违约责任</w:t>
      </w:r>
    </w:p>
    <w:p w:rsidR="00B6560D" w:rsidRDefault="00626ED5">
      <w:pPr>
        <w:pStyle w:val="af"/>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自本协议签署之日起，签约各方应积极履行有关义务及保证承诺，任何违反本协议规定的行为均构成违约，违约行为经守约方书面通知发出之日起三十日内应当予以补救，如违约方逾期不补救的，违约方应在前述期满之日起五日内向守约方支付5,000万元的违约金，致使守约方承担任何费用、责任或蒙受任何损失</w:t>
      </w:r>
      <w:r>
        <w:rPr>
          <w:rFonts w:asciiTheme="minorEastAsia" w:eastAsiaTheme="minorEastAsia" w:hAnsiTheme="minorEastAsia" w:hint="eastAsia"/>
          <w:sz w:val="24"/>
          <w:szCs w:val="24"/>
        </w:rPr>
        <w:lastRenderedPageBreak/>
        <w:t>（以下简称“损失”）的，违约方应同时就上述任何损失（包括但不限于因违约而支付或损失的利息以及律师费）赔偿守约方。违约方向守约方支付的赔偿金总额应当与因该违约行为产生的损失相同，上述赔偿包括守约方因履约而应当获得的利益。</w:t>
      </w:r>
    </w:p>
    <w:p w:rsidR="00B6560D" w:rsidRDefault="00626ED5">
      <w:pPr>
        <w:pStyle w:val="af"/>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签约各方违约造成的违约金、赔偿金的支付不影响守约方要求违约方按照本协议的约定继续履行本协议。</w:t>
      </w:r>
    </w:p>
    <w:p w:rsidR="00B6560D" w:rsidRDefault="00626ED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长睿生物、成都远睿、邓飞如有下述违约行为，则构成根本违约，甲方、乙方有权解除本协议，长睿生物、成都远睿、邓飞应在收到甲方、乙方解除通知之日起一个月内连带地返还甲方、乙方支付的全部交易价款，同时，长睿生物、成都远睿、邓飞应向甲方、乙方支付违约金，甲方、乙方如有损失的长睿生物、成都远睿、邓飞还应当赔偿损失、承担违约金：</w:t>
      </w:r>
    </w:p>
    <w:p w:rsidR="00B6560D" w:rsidRDefault="00626ED5">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（1）本协议约定的</w:t>
      </w:r>
      <w:r w:rsidR="008C0C4F">
        <w:rPr>
          <w:rFonts w:asciiTheme="minorEastAsia" w:eastAsiaTheme="minorEastAsia" w:hAnsiTheme="minorEastAsia" w:hint="eastAsia"/>
          <w:sz w:val="24"/>
          <w:szCs w:val="24"/>
        </w:rPr>
        <w:t>相关违约</w:t>
      </w:r>
      <w:r>
        <w:rPr>
          <w:rFonts w:asciiTheme="minorEastAsia" w:eastAsiaTheme="minorEastAsia" w:hAnsiTheme="minorEastAsia" w:hint="eastAsia"/>
          <w:sz w:val="24"/>
          <w:szCs w:val="24"/>
        </w:rPr>
        <w:t>情形；</w:t>
      </w:r>
    </w:p>
    <w:p w:rsidR="00B6560D" w:rsidRDefault="00626ED5">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（2）长睿生物因本次交易完成前的原因导致侵权、违</w:t>
      </w:r>
      <w:r w:rsidR="008C0C4F">
        <w:rPr>
          <w:rFonts w:asciiTheme="minorEastAsia" w:eastAsiaTheme="minorEastAsia" w:hAnsiTheme="minorEastAsia" w:hint="eastAsia"/>
          <w:sz w:val="24"/>
          <w:szCs w:val="24"/>
        </w:rPr>
        <w:t>约等纠纷被主张侵权、违约赔偿或发生诉讼仲裁，且诉讼、仲裁结果为长睿生物</w:t>
      </w:r>
      <w:r>
        <w:rPr>
          <w:rFonts w:asciiTheme="minorEastAsia" w:eastAsiaTheme="minorEastAsia" w:hAnsiTheme="minorEastAsia" w:hint="eastAsia"/>
          <w:sz w:val="24"/>
          <w:szCs w:val="24"/>
        </w:rPr>
        <w:t>赔偿损失1,000万元</w:t>
      </w:r>
      <w:bookmarkStart w:id="1" w:name="_Hlk20324198"/>
      <w:r>
        <w:rPr>
          <w:rFonts w:asciiTheme="minorEastAsia" w:eastAsiaTheme="minorEastAsia" w:hAnsiTheme="minorEastAsia" w:hint="eastAsia"/>
          <w:sz w:val="24"/>
          <w:szCs w:val="24"/>
        </w:rPr>
        <w:t>及</w:t>
      </w:r>
      <w:bookmarkEnd w:id="1"/>
      <w:r>
        <w:rPr>
          <w:rFonts w:asciiTheme="minorEastAsia" w:eastAsiaTheme="minorEastAsia" w:hAnsiTheme="minorEastAsia" w:hint="eastAsia"/>
          <w:sz w:val="24"/>
          <w:szCs w:val="24"/>
        </w:rPr>
        <w:t>以上，或直接导致“长睿生物”无法正常经营；</w:t>
      </w:r>
    </w:p>
    <w:p w:rsidR="00B6560D" w:rsidRDefault="00626ED5">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asciiTheme="minorEastAsia" w:eastAsiaTheme="minorEastAsia" w:hAnsiTheme="minorEastAsia" w:hint="eastAsia"/>
          <w:sz w:val="24"/>
          <w:szCs w:val="24"/>
        </w:rPr>
        <w:t>）其他长睿生物、成都远睿、邓飞严重违反本协议，导致甲方、乙方本次交易的合同目的无法实现的情形；</w:t>
      </w:r>
    </w:p>
    <w:p w:rsidR="00B6560D" w:rsidRDefault="00626ED5">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（4）未按本协议的规定履行本协议项下的约定、承诺、义务，并经甲方发出书面催告后四十五日内仍未采取有效的补救措施；</w:t>
      </w:r>
    </w:p>
    <w:p w:rsidR="00B6560D" w:rsidRDefault="00626ED5" w:rsidP="008C0C4F">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（5）成都远睿、邓飞侵害甲方、乙方或长睿生物权益导致甲方或乙方损失达到甲方或乙方本次交易价款的30%</w:t>
      </w:r>
      <w:r w:rsidR="008C0C4F">
        <w:rPr>
          <w:rFonts w:asciiTheme="minorEastAsia" w:eastAsiaTheme="minorEastAsia" w:hAnsiTheme="minorEastAsia" w:hint="eastAsia"/>
          <w:sz w:val="24"/>
          <w:szCs w:val="24"/>
        </w:rPr>
        <w:t>。</w:t>
      </w:r>
    </w:p>
    <w:p w:rsidR="00B6560D" w:rsidRDefault="00626ED5">
      <w:pPr>
        <w:pStyle w:val="af"/>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签约各方自身没有过错并积极配合本协议项下各事项进展的前提下，如发生不可抗力，致使一方不能按照本协议履行义务，自不可抗力事件发生之日起三日内该方必须通知其他方，并采取适当的措施避免损失的进一步扩大，同时向其他方提供权威部门关于不可抗力事件的证明，则不能履行义务一方无需向其他方承担违约责任。</w:t>
      </w:r>
    </w:p>
    <w:p w:rsidR="00B6560D" w:rsidRDefault="006A2869">
      <w:pPr>
        <w:pStyle w:val="af"/>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（八</w:t>
      </w:r>
      <w:r w:rsidR="00626ED5">
        <w:rPr>
          <w:rFonts w:asciiTheme="minorEastAsia" w:eastAsiaTheme="minorEastAsia" w:hAnsiTheme="minorEastAsia" w:hint="eastAsia"/>
          <w:b/>
          <w:sz w:val="24"/>
          <w:szCs w:val="24"/>
        </w:rPr>
        <w:t>）协议的生效及其他</w:t>
      </w:r>
    </w:p>
    <w:p w:rsidR="00B6560D" w:rsidRDefault="00626ED5">
      <w:pPr>
        <w:pStyle w:val="af"/>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、本协议自甲方、成都远睿、长睿生物法定代表人或授权代表签字、加盖甲方、成都远睿、长睿生物公章且乙方各成员、邓飞本人或授权代表签字之日起成立并生效。</w:t>
      </w:r>
    </w:p>
    <w:p w:rsidR="00B6560D" w:rsidRDefault="008C0C4F">
      <w:pPr>
        <w:pStyle w:val="af"/>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lastRenderedPageBreak/>
        <w:t>2</w:t>
      </w:r>
      <w:r w:rsidR="00626ED5">
        <w:rPr>
          <w:rFonts w:asciiTheme="minorEastAsia" w:eastAsiaTheme="minorEastAsia" w:hAnsiTheme="minorEastAsia" w:hint="eastAsia"/>
          <w:sz w:val="24"/>
          <w:szCs w:val="24"/>
        </w:rPr>
        <w:t>、本协议一经签署，签约各方均应严格恪守，任何一方要求变更或解除本协议，应提前十五日通知他方，非经签约各方协商一致，任何一方不得擅自变更或解除本协议。</w:t>
      </w:r>
    </w:p>
    <w:p w:rsidR="00B6560D" w:rsidRDefault="008C0C4F">
      <w:pPr>
        <w:pStyle w:val="af"/>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w:t>
      </w:r>
      <w:r w:rsidR="00626ED5">
        <w:rPr>
          <w:rFonts w:asciiTheme="minorEastAsia" w:eastAsiaTheme="minorEastAsia" w:hAnsiTheme="minorEastAsia" w:hint="eastAsia"/>
          <w:sz w:val="24"/>
          <w:szCs w:val="24"/>
        </w:rPr>
        <w:t>、本协议的订立、效力、变更、解释、履行、终止和由本协议产生或与本协议有关之争议的解决，均受中华人民共和国法律的管辖。因履行本协议所发生的纠纷，各方友好协商解决；协商不成，应将争议提交甲方所在地有管辖权的人民法院管辖审理。</w:t>
      </w:r>
    </w:p>
    <w:p w:rsidR="00B6560D" w:rsidRDefault="008C0C4F">
      <w:pPr>
        <w:pStyle w:val="af"/>
        <w:spacing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w:t>
      </w:r>
      <w:r w:rsidR="00626ED5">
        <w:rPr>
          <w:rFonts w:asciiTheme="minorEastAsia" w:eastAsiaTheme="minorEastAsia" w:hAnsiTheme="minorEastAsia" w:hint="eastAsia"/>
          <w:sz w:val="24"/>
          <w:szCs w:val="24"/>
        </w:rPr>
        <w:t>、因履行本协议所产生的税负及有关费用，由各方依照法律规定各自承担。</w:t>
      </w:r>
    </w:p>
    <w:p w:rsidR="00B6560D" w:rsidRDefault="00626ED5">
      <w:pPr>
        <w:pStyle w:val="af"/>
        <w:pBdr>
          <w:bottom w:val="none" w:sz="0" w:space="5" w:color="000000"/>
        </w:pBd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三、交易的目的及对上市公司的影响</w:t>
      </w:r>
    </w:p>
    <w:p w:rsidR="00B6560D" w:rsidRDefault="00626ED5">
      <w:pPr>
        <w:pStyle w:val="af"/>
        <w:pBdr>
          <w:bottom w:val="none" w:sz="0" w:space="5" w:color="000000"/>
        </w:pBd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是一家布局大健康全产业链的公司，旗下有中药、化药、疫苗以及其他生物药等。为满足公司研发需求，建设服务型科研平台，用于公司对外科研投入时进行产品的筛选、评价和服务，以及为自有科研项目在临床前后提供强有力的技术支撑。</w:t>
      </w:r>
    </w:p>
    <w:p w:rsidR="00B6560D" w:rsidRDefault="00626ED5">
      <w:pPr>
        <w:pStyle w:val="af"/>
        <w:pBdr>
          <w:bottom w:val="none" w:sz="0" w:space="5" w:color="000000"/>
        </w:pBdr>
        <w:spacing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投资重组可增强长睿生物资金实力，以便开展相关业务，符合公司发展战略规划和长远利益，培育新的利润增长点，增强公司可持续发展能力。有利于公司大健康战略的顺利推进，为公司及股东创造最大价值。本次与关联人共同投资有利于降低公司股权投资业务风险，强化股权投资相关人员的风险约束和激励，有利于实现经营者与所有者的有机结合。</w:t>
      </w:r>
    </w:p>
    <w:p w:rsidR="00B6560D" w:rsidRDefault="00626ED5">
      <w:pPr>
        <w:pStyle w:val="af"/>
        <w:pBdr>
          <w:bottom w:val="none" w:sz="0" w:space="5" w:color="000000"/>
        </w:pBdr>
        <w:spacing w:line="360" w:lineRule="auto"/>
        <w:ind w:firstLineChars="200" w:firstLine="502"/>
        <w:rPr>
          <w:rFonts w:asciiTheme="minorEastAsia" w:eastAsiaTheme="minorEastAsia" w:hAnsiTheme="minorEastAsia" w:cs="Arial"/>
          <w:b/>
          <w:sz w:val="25"/>
          <w:szCs w:val="25"/>
          <w:shd w:val="clear" w:color="auto" w:fill="FFFFFF"/>
        </w:rPr>
      </w:pPr>
      <w:r>
        <w:rPr>
          <w:rFonts w:asciiTheme="minorEastAsia" w:eastAsiaTheme="minorEastAsia" w:hAnsiTheme="minorEastAsia" w:cs="Arial" w:hint="eastAsia"/>
          <w:b/>
          <w:sz w:val="25"/>
          <w:szCs w:val="25"/>
          <w:shd w:val="clear" w:color="auto" w:fill="FFFFFF"/>
        </w:rPr>
        <w:t>四、相关风险提示</w:t>
      </w:r>
    </w:p>
    <w:p w:rsidR="00B6560D" w:rsidRPr="006A2869" w:rsidRDefault="00263C52">
      <w:pPr>
        <w:pStyle w:val="af"/>
        <w:pBdr>
          <w:bottom w:val="none" w:sz="0" w:space="5" w:color="000000"/>
        </w:pBdr>
        <w:spacing w:line="360" w:lineRule="auto"/>
        <w:ind w:firstLineChars="200" w:firstLine="500"/>
        <w:rPr>
          <w:rFonts w:asciiTheme="minorEastAsia" w:eastAsiaTheme="minorEastAsia" w:hAnsiTheme="minorEastAsia" w:cs="Arial"/>
          <w:sz w:val="25"/>
          <w:szCs w:val="25"/>
          <w:shd w:val="clear" w:color="auto" w:fill="FFFFFF"/>
        </w:rPr>
      </w:pPr>
      <w:r w:rsidRPr="006A2869">
        <w:rPr>
          <w:rFonts w:asciiTheme="minorEastAsia" w:eastAsiaTheme="minorEastAsia" w:hAnsiTheme="minorEastAsia" w:cs="Arial" w:hint="eastAsia"/>
          <w:sz w:val="25"/>
          <w:szCs w:val="25"/>
          <w:shd w:val="clear" w:color="auto" w:fill="FFFFFF"/>
        </w:rPr>
        <w:t>截至目前，股权转让协议尚未签署，</w:t>
      </w:r>
      <w:r w:rsidR="00626ED5" w:rsidRPr="006A2869">
        <w:rPr>
          <w:rFonts w:asciiTheme="minorEastAsia" w:eastAsiaTheme="minorEastAsia" w:hAnsiTheme="minorEastAsia" w:cs="Arial" w:hint="eastAsia"/>
          <w:sz w:val="25"/>
          <w:szCs w:val="25"/>
          <w:shd w:val="clear" w:color="auto" w:fill="FFFFFF"/>
        </w:rPr>
        <w:t>需</w:t>
      </w:r>
      <w:r w:rsidR="004E2CF4" w:rsidRPr="006A2869">
        <w:rPr>
          <w:rFonts w:asciiTheme="minorEastAsia" w:eastAsiaTheme="minorEastAsia" w:hAnsiTheme="minorEastAsia" w:cs="Arial" w:hint="eastAsia"/>
          <w:sz w:val="25"/>
          <w:szCs w:val="25"/>
          <w:shd w:val="clear" w:color="auto" w:fill="FFFFFF"/>
        </w:rPr>
        <w:t>在本次增资完成后</w:t>
      </w:r>
      <w:r w:rsidRPr="006A2869">
        <w:rPr>
          <w:rFonts w:asciiTheme="minorEastAsia" w:eastAsiaTheme="minorEastAsia" w:hAnsiTheme="minorEastAsia" w:cs="Arial" w:hint="eastAsia"/>
          <w:sz w:val="25"/>
          <w:szCs w:val="25"/>
          <w:shd w:val="clear" w:color="auto" w:fill="FFFFFF"/>
        </w:rPr>
        <w:t>根据最终实际出具的专项审计报告、评估报告协商确定，公司将根据项目进展情况及时履行信息披露义务。</w:t>
      </w:r>
    </w:p>
    <w:p w:rsidR="00B6560D" w:rsidRDefault="00626ED5">
      <w:pPr>
        <w:pStyle w:val="af"/>
        <w:pBdr>
          <w:bottom w:val="none" w:sz="0" w:space="5" w:color="000000"/>
        </w:pBdr>
        <w:spacing w:line="360" w:lineRule="auto"/>
        <w:ind w:firstLineChars="200" w:firstLine="500"/>
        <w:rPr>
          <w:rFonts w:asciiTheme="minorEastAsia" w:eastAsiaTheme="minorEastAsia" w:hAnsiTheme="minorEastAsia" w:cs="Arial"/>
          <w:sz w:val="25"/>
          <w:szCs w:val="25"/>
          <w:shd w:val="clear" w:color="auto" w:fill="FFFFFF"/>
        </w:rPr>
      </w:pPr>
      <w:r>
        <w:rPr>
          <w:rFonts w:asciiTheme="minorEastAsia" w:eastAsiaTheme="minorEastAsia" w:hAnsiTheme="minorEastAsia" w:cs="Arial" w:hint="eastAsia"/>
          <w:sz w:val="25"/>
          <w:szCs w:val="25"/>
          <w:shd w:val="clear" w:color="auto" w:fill="FFFFFF"/>
        </w:rPr>
        <w:t>长睿生物目前处于开办阶段，尚未形成稳定的收入及利润来源，其未来经营业绩的实现存在不确定性风险。</w:t>
      </w:r>
    </w:p>
    <w:p w:rsidR="00B6560D" w:rsidRDefault="00626ED5" w:rsidP="008C0C4F">
      <w:pPr>
        <w:pStyle w:val="af"/>
        <w:pBdr>
          <w:bottom w:val="none" w:sz="0" w:space="5" w:color="000000"/>
        </w:pBdr>
        <w:spacing w:line="360" w:lineRule="auto"/>
        <w:ind w:firstLineChars="200" w:firstLine="500"/>
        <w:rPr>
          <w:rFonts w:asciiTheme="minorEastAsia" w:eastAsiaTheme="minorEastAsia" w:hAnsiTheme="minorEastAsia" w:cs="Arial"/>
          <w:sz w:val="25"/>
          <w:szCs w:val="25"/>
          <w:shd w:val="clear" w:color="auto" w:fill="FFFFFF"/>
        </w:rPr>
      </w:pPr>
      <w:r>
        <w:rPr>
          <w:rFonts w:asciiTheme="minorEastAsia" w:eastAsiaTheme="minorEastAsia" w:hAnsiTheme="minorEastAsia" w:cs="Arial" w:hint="eastAsia"/>
          <w:sz w:val="25"/>
          <w:szCs w:val="25"/>
          <w:shd w:val="clear" w:color="auto" w:fill="FFFFFF"/>
        </w:rPr>
        <w:t>本次交易是公司结合自身实际，为了业务更好发展，增强市场竞争力，逐步实现战略布局所做出的决策，在实施过程中可能面临市场风险、管理风险和经营风险。公司将不断完善内部控制体系、加强风险防范运行机制，依托前期积累的管理经验，提升对外投资、管理运营的监督与控制，提高管理能力和经营效率，积极防范和应对上述风险。敬请广大投资者谨慎决策，注</w:t>
      </w:r>
      <w:r>
        <w:rPr>
          <w:rFonts w:asciiTheme="minorEastAsia" w:eastAsiaTheme="minorEastAsia" w:hAnsiTheme="minorEastAsia" w:cs="Arial" w:hint="eastAsia"/>
          <w:sz w:val="25"/>
          <w:szCs w:val="25"/>
          <w:shd w:val="clear" w:color="auto" w:fill="FFFFFF"/>
        </w:rPr>
        <w:lastRenderedPageBreak/>
        <w:t>意防范投资风险。</w:t>
      </w:r>
    </w:p>
    <w:p w:rsidR="00B6560D" w:rsidRDefault="00626ED5">
      <w:pPr>
        <w:pStyle w:val="af"/>
        <w:pBdr>
          <w:bottom w:val="none" w:sz="0" w:space="5" w:color="000000"/>
        </w:pBdr>
        <w:spacing w:line="360" w:lineRule="auto"/>
        <w:ind w:firstLineChars="200" w:firstLine="500"/>
        <w:rPr>
          <w:rFonts w:asciiTheme="minorEastAsia" w:eastAsiaTheme="minorEastAsia" w:hAnsiTheme="minorEastAsia" w:cs="Arial"/>
          <w:sz w:val="25"/>
          <w:szCs w:val="25"/>
          <w:shd w:val="clear" w:color="auto" w:fill="FFFFFF"/>
        </w:rPr>
      </w:pPr>
      <w:r>
        <w:rPr>
          <w:rFonts w:asciiTheme="minorEastAsia" w:eastAsiaTheme="minorEastAsia" w:hAnsiTheme="minorEastAsia" w:cs="Arial" w:hint="eastAsia"/>
          <w:sz w:val="25"/>
          <w:szCs w:val="25"/>
          <w:shd w:val="clear" w:color="auto" w:fill="FFFFFF"/>
        </w:rPr>
        <w:t>特此公告。</w:t>
      </w:r>
    </w:p>
    <w:p w:rsidR="00B6560D" w:rsidRDefault="00B6560D">
      <w:pPr>
        <w:autoSpaceDE w:val="0"/>
        <w:autoSpaceDN w:val="0"/>
        <w:spacing w:line="360" w:lineRule="auto"/>
        <w:ind w:firstLineChars="200" w:firstLine="480"/>
        <w:jc w:val="right"/>
        <w:rPr>
          <w:rFonts w:asciiTheme="minorEastAsia" w:eastAsiaTheme="minorEastAsia" w:hAnsiTheme="minorEastAsia" w:cs="KAPJJC+ËÎÌå"/>
          <w:sz w:val="24"/>
        </w:rPr>
      </w:pPr>
    </w:p>
    <w:p w:rsidR="00B6560D" w:rsidRDefault="00626ED5">
      <w:pPr>
        <w:autoSpaceDE w:val="0"/>
        <w:autoSpaceDN w:val="0"/>
        <w:spacing w:line="360" w:lineRule="auto"/>
        <w:ind w:firstLineChars="200" w:firstLine="480"/>
        <w:jc w:val="right"/>
        <w:rPr>
          <w:rFonts w:asciiTheme="minorEastAsia" w:eastAsiaTheme="minorEastAsia" w:hAnsiTheme="minorEastAsia" w:cs="KAPJJC+ËÎÌå"/>
          <w:sz w:val="24"/>
        </w:rPr>
      </w:pPr>
      <w:r>
        <w:rPr>
          <w:rFonts w:asciiTheme="minorEastAsia" w:eastAsiaTheme="minorEastAsia" w:hAnsiTheme="minorEastAsia" w:cs="KAPJJC+ËÎÌå" w:hint="eastAsia"/>
          <w:sz w:val="24"/>
        </w:rPr>
        <w:t>山东步长制药股份有限公司董事会</w:t>
      </w:r>
    </w:p>
    <w:p w:rsidR="00B6560D" w:rsidRDefault="00626ED5">
      <w:pPr>
        <w:wordWrap w:val="0"/>
        <w:autoSpaceDE w:val="0"/>
        <w:autoSpaceDN w:val="0"/>
        <w:spacing w:line="360" w:lineRule="auto"/>
        <w:ind w:right="960" w:firstLineChars="200" w:firstLine="480"/>
        <w:jc w:val="right"/>
        <w:rPr>
          <w:rFonts w:asciiTheme="minorEastAsia" w:eastAsiaTheme="minorEastAsia" w:hAnsiTheme="minorEastAsia" w:cs="KAPJJC+ËÎÌå"/>
          <w:color w:val="000000"/>
          <w:sz w:val="24"/>
        </w:rPr>
      </w:pPr>
      <w:r>
        <w:rPr>
          <w:rFonts w:asciiTheme="minorEastAsia" w:eastAsiaTheme="minorEastAsia" w:hAnsiTheme="minorEastAsia" w:hint="eastAsia"/>
          <w:sz w:val="24"/>
          <w:szCs w:val="24"/>
        </w:rPr>
        <w:t>20</w:t>
      </w:r>
      <w:r>
        <w:rPr>
          <w:rFonts w:asciiTheme="minorEastAsia" w:eastAsiaTheme="minorEastAsia" w:hAnsiTheme="minorEastAsia"/>
          <w:sz w:val="24"/>
          <w:szCs w:val="24"/>
        </w:rPr>
        <w:t>23</w:t>
      </w:r>
      <w:r>
        <w:rPr>
          <w:rFonts w:asciiTheme="minorEastAsia" w:eastAsiaTheme="minorEastAsia" w:hAnsiTheme="minorEastAsia" w:hint="eastAsia"/>
          <w:sz w:val="24"/>
          <w:szCs w:val="24"/>
        </w:rPr>
        <w:t>年</w:t>
      </w:r>
      <w:r>
        <w:rPr>
          <w:rFonts w:asciiTheme="minorEastAsia" w:eastAsiaTheme="minorEastAsia" w:hAnsiTheme="minorEastAsia"/>
          <w:sz w:val="24"/>
          <w:szCs w:val="24"/>
        </w:rPr>
        <w:t>3</w:t>
      </w:r>
      <w:r w:rsidR="006A2869">
        <w:rPr>
          <w:rFonts w:asciiTheme="minorEastAsia" w:eastAsiaTheme="minorEastAsia" w:hAnsiTheme="minorEastAsia" w:hint="eastAsia"/>
          <w:sz w:val="24"/>
          <w:szCs w:val="24"/>
        </w:rPr>
        <w:t>月1</w:t>
      </w:r>
      <w:r w:rsidR="006A2869">
        <w:rPr>
          <w:rFonts w:asciiTheme="minorEastAsia" w:eastAsiaTheme="minorEastAsia" w:hAnsiTheme="minorEastAsia"/>
          <w:sz w:val="24"/>
          <w:szCs w:val="24"/>
        </w:rPr>
        <w:t>0</w:t>
      </w:r>
      <w:r>
        <w:rPr>
          <w:rFonts w:asciiTheme="minorEastAsia" w:eastAsiaTheme="minorEastAsia" w:hAnsiTheme="minorEastAsia" w:hint="eastAsia"/>
          <w:sz w:val="24"/>
          <w:szCs w:val="24"/>
        </w:rPr>
        <w:t>日</w:t>
      </w:r>
    </w:p>
    <w:sectPr w:rsidR="00B6560D">
      <w:endnotePr>
        <w:numFmt w:val="decimal"/>
      </w:endnotePr>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B1C" w:rsidRDefault="00102B1C"/>
  </w:endnote>
  <w:endnote w:type="continuationSeparator" w:id="0">
    <w:p w:rsidR="00102B1C" w:rsidRDefault="00102B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KAPJJC+ËÎÌå">
    <w:altName w:val="Segoe Print"/>
    <w:charset w:val="00"/>
    <w:family w:val="auto"/>
    <w:pitch w:val="default"/>
    <w:sig w:usb0="00000000" w:usb1="00000000" w:usb2="01010101" w:usb3="01010101" w:csb0="01010101" w:csb1="01010101"/>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B1C" w:rsidRDefault="00102B1C"/>
  </w:footnote>
  <w:footnote w:type="continuationSeparator" w:id="0">
    <w:p w:rsidR="00102B1C" w:rsidRDefault="00102B1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hZjQ0YzkxMzM0NzJmNmEyZTU2NDA1MTcwYmE2MDYifQ=="/>
  </w:docVars>
  <w:rsids>
    <w:rsidRoot w:val="00AC7A56"/>
    <w:rsid w:val="00002F0A"/>
    <w:rsid w:val="0000667D"/>
    <w:rsid w:val="000126A2"/>
    <w:rsid w:val="00016E54"/>
    <w:rsid w:val="000251E1"/>
    <w:rsid w:val="00025A50"/>
    <w:rsid w:val="00025AB6"/>
    <w:rsid w:val="00037A20"/>
    <w:rsid w:val="00037F63"/>
    <w:rsid w:val="000429C0"/>
    <w:rsid w:val="00044DF5"/>
    <w:rsid w:val="00053292"/>
    <w:rsid w:val="00056594"/>
    <w:rsid w:val="00060334"/>
    <w:rsid w:val="000620C6"/>
    <w:rsid w:val="00071EBD"/>
    <w:rsid w:val="00073478"/>
    <w:rsid w:val="00074EA5"/>
    <w:rsid w:val="00075036"/>
    <w:rsid w:val="000855A6"/>
    <w:rsid w:val="000862A8"/>
    <w:rsid w:val="0008654E"/>
    <w:rsid w:val="0009464B"/>
    <w:rsid w:val="000A1DC0"/>
    <w:rsid w:val="000B0219"/>
    <w:rsid w:val="000B1E95"/>
    <w:rsid w:val="000B2FDE"/>
    <w:rsid w:val="000B61CE"/>
    <w:rsid w:val="000C7ACD"/>
    <w:rsid w:val="000C7C47"/>
    <w:rsid w:val="000D3AD7"/>
    <w:rsid w:val="000D4225"/>
    <w:rsid w:val="000D4E0A"/>
    <w:rsid w:val="000F1416"/>
    <w:rsid w:val="000F1C51"/>
    <w:rsid w:val="00102B1C"/>
    <w:rsid w:val="00110672"/>
    <w:rsid w:val="00131474"/>
    <w:rsid w:val="00143D65"/>
    <w:rsid w:val="00147716"/>
    <w:rsid w:val="00155A06"/>
    <w:rsid w:val="001564CF"/>
    <w:rsid w:val="00162C40"/>
    <w:rsid w:val="00174D44"/>
    <w:rsid w:val="00174D90"/>
    <w:rsid w:val="00176150"/>
    <w:rsid w:val="001838B9"/>
    <w:rsid w:val="001909BD"/>
    <w:rsid w:val="00190F35"/>
    <w:rsid w:val="00194206"/>
    <w:rsid w:val="0019596C"/>
    <w:rsid w:val="0019622C"/>
    <w:rsid w:val="00197B2C"/>
    <w:rsid w:val="001A1938"/>
    <w:rsid w:val="001A3667"/>
    <w:rsid w:val="001B60A2"/>
    <w:rsid w:val="001B74BD"/>
    <w:rsid w:val="001C1CD8"/>
    <w:rsid w:val="001C210D"/>
    <w:rsid w:val="001C2FBC"/>
    <w:rsid w:val="001C3967"/>
    <w:rsid w:val="001D3E8A"/>
    <w:rsid w:val="001D4C12"/>
    <w:rsid w:val="001D74B9"/>
    <w:rsid w:val="001E46C0"/>
    <w:rsid w:val="001E55AA"/>
    <w:rsid w:val="001F0CEF"/>
    <w:rsid w:val="001F1337"/>
    <w:rsid w:val="0020049D"/>
    <w:rsid w:val="0021448C"/>
    <w:rsid w:val="00220B8F"/>
    <w:rsid w:val="00222AE7"/>
    <w:rsid w:val="002244E4"/>
    <w:rsid w:val="00224FD2"/>
    <w:rsid w:val="002257A3"/>
    <w:rsid w:val="00233E3F"/>
    <w:rsid w:val="00241C2B"/>
    <w:rsid w:val="002453D6"/>
    <w:rsid w:val="00247C9C"/>
    <w:rsid w:val="00251745"/>
    <w:rsid w:val="00253D50"/>
    <w:rsid w:val="002551EA"/>
    <w:rsid w:val="002554C3"/>
    <w:rsid w:val="00261506"/>
    <w:rsid w:val="00263C52"/>
    <w:rsid w:val="00263CBC"/>
    <w:rsid w:val="00265CCB"/>
    <w:rsid w:val="0026681E"/>
    <w:rsid w:val="0027022A"/>
    <w:rsid w:val="002719B9"/>
    <w:rsid w:val="00271A33"/>
    <w:rsid w:val="00273043"/>
    <w:rsid w:val="00286600"/>
    <w:rsid w:val="002911DE"/>
    <w:rsid w:val="002B2F18"/>
    <w:rsid w:val="002B3B5C"/>
    <w:rsid w:val="002C5A80"/>
    <w:rsid w:val="002D01C9"/>
    <w:rsid w:val="002D509B"/>
    <w:rsid w:val="002E0C18"/>
    <w:rsid w:val="002E6057"/>
    <w:rsid w:val="002E6107"/>
    <w:rsid w:val="002F0535"/>
    <w:rsid w:val="00300275"/>
    <w:rsid w:val="0030086C"/>
    <w:rsid w:val="003025E1"/>
    <w:rsid w:val="00312CB0"/>
    <w:rsid w:val="00314AA2"/>
    <w:rsid w:val="00317D95"/>
    <w:rsid w:val="003203D1"/>
    <w:rsid w:val="00324DD9"/>
    <w:rsid w:val="00326209"/>
    <w:rsid w:val="00331831"/>
    <w:rsid w:val="003364F0"/>
    <w:rsid w:val="0033784C"/>
    <w:rsid w:val="00337E2F"/>
    <w:rsid w:val="00342CC4"/>
    <w:rsid w:val="00343B59"/>
    <w:rsid w:val="00347138"/>
    <w:rsid w:val="00361E75"/>
    <w:rsid w:val="0037295F"/>
    <w:rsid w:val="00383E17"/>
    <w:rsid w:val="00396F7C"/>
    <w:rsid w:val="003A0455"/>
    <w:rsid w:val="003A3A1F"/>
    <w:rsid w:val="003A500C"/>
    <w:rsid w:val="003A64A1"/>
    <w:rsid w:val="003A7923"/>
    <w:rsid w:val="003C1E6B"/>
    <w:rsid w:val="003C305A"/>
    <w:rsid w:val="003C3D25"/>
    <w:rsid w:val="003C6323"/>
    <w:rsid w:val="003D5115"/>
    <w:rsid w:val="003E03B3"/>
    <w:rsid w:val="003F153C"/>
    <w:rsid w:val="004021C6"/>
    <w:rsid w:val="00402587"/>
    <w:rsid w:val="00403146"/>
    <w:rsid w:val="004060F6"/>
    <w:rsid w:val="00412631"/>
    <w:rsid w:val="00416911"/>
    <w:rsid w:val="00416A25"/>
    <w:rsid w:val="00423C32"/>
    <w:rsid w:val="00424B73"/>
    <w:rsid w:val="00430144"/>
    <w:rsid w:val="004326AA"/>
    <w:rsid w:val="00447D53"/>
    <w:rsid w:val="00454B4C"/>
    <w:rsid w:val="00460085"/>
    <w:rsid w:val="00462B57"/>
    <w:rsid w:val="004633E5"/>
    <w:rsid w:val="004635A3"/>
    <w:rsid w:val="004639D9"/>
    <w:rsid w:val="00471525"/>
    <w:rsid w:val="004719C3"/>
    <w:rsid w:val="0047340C"/>
    <w:rsid w:val="0047585D"/>
    <w:rsid w:val="004770A2"/>
    <w:rsid w:val="00484CF4"/>
    <w:rsid w:val="00490120"/>
    <w:rsid w:val="0049014D"/>
    <w:rsid w:val="00492A8C"/>
    <w:rsid w:val="004A3A5C"/>
    <w:rsid w:val="004A69D8"/>
    <w:rsid w:val="004B4AFD"/>
    <w:rsid w:val="004B6C24"/>
    <w:rsid w:val="004C0FB3"/>
    <w:rsid w:val="004C3534"/>
    <w:rsid w:val="004C6320"/>
    <w:rsid w:val="004D13DA"/>
    <w:rsid w:val="004D2313"/>
    <w:rsid w:val="004D524C"/>
    <w:rsid w:val="004D69C0"/>
    <w:rsid w:val="004E2CF4"/>
    <w:rsid w:val="004E50FA"/>
    <w:rsid w:val="004E66AB"/>
    <w:rsid w:val="004E74FC"/>
    <w:rsid w:val="004F292F"/>
    <w:rsid w:val="00503065"/>
    <w:rsid w:val="005032AE"/>
    <w:rsid w:val="00503BD3"/>
    <w:rsid w:val="005059F4"/>
    <w:rsid w:val="00512092"/>
    <w:rsid w:val="00517587"/>
    <w:rsid w:val="00526700"/>
    <w:rsid w:val="00530106"/>
    <w:rsid w:val="0053036C"/>
    <w:rsid w:val="00532DEA"/>
    <w:rsid w:val="00542C45"/>
    <w:rsid w:val="0054413D"/>
    <w:rsid w:val="00552679"/>
    <w:rsid w:val="00552AF6"/>
    <w:rsid w:val="00553C33"/>
    <w:rsid w:val="00560217"/>
    <w:rsid w:val="00563A40"/>
    <w:rsid w:val="0056674A"/>
    <w:rsid w:val="00567F25"/>
    <w:rsid w:val="00570FEA"/>
    <w:rsid w:val="00572090"/>
    <w:rsid w:val="005830E7"/>
    <w:rsid w:val="0058639F"/>
    <w:rsid w:val="00587138"/>
    <w:rsid w:val="0059038D"/>
    <w:rsid w:val="00592996"/>
    <w:rsid w:val="00597FCE"/>
    <w:rsid w:val="005A3358"/>
    <w:rsid w:val="005A4933"/>
    <w:rsid w:val="005A54D6"/>
    <w:rsid w:val="005A6B95"/>
    <w:rsid w:val="005B2023"/>
    <w:rsid w:val="005D4CDF"/>
    <w:rsid w:val="005D6200"/>
    <w:rsid w:val="005D6403"/>
    <w:rsid w:val="005D7FC7"/>
    <w:rsid w:val="005E3352"/>
    <w:rsid w:val="005E5DAA"/>
    <w:rsid w:val="005F161A"/>
    <w:rsid w:val="005F2EF4"/>
    <w:rsid w:val="005F598C"/>
    <w:rsid w:val="005F704B"/>
    <w:rsid w:val="005F778A"/>
    <w:rsid w:val="005F77BB"/>
    <w:rsid w:val="00602BBD"/>
    <w:rsid w:val="00604CA0"/>
    <w:rsid w:val="006053B4"/>
    <w:rsid w:val="006115D4"/>
    <w:rsid w:val="00620393"/>
    <w:rsid w:val="00621263"/>
    <w:rsid w:val="006237EB"/>
    <w:rsid w:val="00626ED5"/>
    <w:rsid w:val="00631DE4"/>
    <w:rsid w:val="00637432"/>
    <w:rsid w:val="0064267A"/>
    <w:rsid w:val="00647B33"/>
    <w:rsid w:val="0065181D"/>
    <w:rsid w:val="00660C80"/>
    <w:rsid w:val="006647F6"/>
    <w:rsid w:val="006669D9"/>
    <w:rsid w:val="006678C2"/>
    <w:rsid w:val="00667EEF"/>
    <w:rsid w:val="00673059"/>
    <w:rsid w:val="006735C3"/>
    <w:rsid w:val="00673930"/>
    <w:rsid w:val="00673DE7"/>
    <w:rsid w:val="006751FD"/>
    <w:rsid w:val="006768FD"/>
    <w:rsid w:val="006800B8"/>
    <w:rsid w:val="006825AF"/>
    <w:rsid w:val="00683789"/>
    <w:rsid w:val="006848B4"/>
    <w:rsid w:val="0068650D"/>
    <w:rsid w:val="0069674D"/>
    <w:rsid w:val="006A1B7A"/>
    <w:rsid w:val="006A2728"/>
    <w:rsid w:val="006A2869"/>
    <w:rsid w:val="006B0EAA"/>
    <w:rsid w:val="006B382E"/>
    <w:rsid w:val="006B7C6B"/>
    <w:rsid w:val="006C15E7"/>
    <w:rsid w:val="006C2C9E"/>
    <w:rsid w:val="006C6382"/>
    <w:rsid w:val="006D1C64"/>
    <w:rsid w:val="006D4C63"/>
    <w:rsid w:val="006D50A1"/>
    <w:rsid w:val="006D5C37"/>
    <w:rsid w:val="006D6C71"/>
    <w:rsid w:val="006E1EF6"/>
    <w:rsid w:val="006E20C7"/>
    <w:rsid w:val="006E4E12"/>
    <w:rsid w:val="006F48E7"/>
    <w:rsid w:val="006F56EA"/>
    <w:rsid w:val="006F57D1"/>
    <w:rsid w:val="0070008B"/>
    <w:rsid w:val="00703682"/>
    <w:rsid w:val="00703A4B"/>
    <w:rsid w:val="00703ADF"/>
    <w:rsid w:val="00703F33"/>
    <w:rsid w:val="007049F6"/>
    <w:rsid w:val="00710AD6"/>
    <w:rsid w:val="00732F1F"/>
    <w:rsid w:val="00736686"/>
    <w:rsid w:val="00745FBB"/>
    <w:rsid w:val="00751CE1"/>
    <w:rsid w:val="00751D66"/>
    <w:rsid w:val="00754496"/>
    <w:rsid w:val="00761C7F"/>
    <w:rsid w:val="00766AB0"/>
    <w:rsid w:val="007758D0"/>
    <w:rsid w:val="00776114"/>
    <w:rsid w:val="00777349"/>
    <w:rsid w:val="00785F6C"/>
    <w:rsid w:val="00793C0A"/>
    <w:rsid w:val="00796283"/>
    <w:rsid w:val="00797B5E"/>
    <w:rsid w:val="007A4A75"/>
    <w:rsid w:val="007A5239"/>
    <w:rsid w:val="007B1146"/>
    <w:rsid w:val="007B3665"/>
    <w:rsid w:val="007B616C"/>
    <w:rsid w:val="007B696B"/>
    <w:rsid w:val="007B77A9"/>
    <w:rsid w:val="007C4746"/>
    <w:rsid w:val="007C58C3"/>
    <w:rsid w:val="007C5D17"/>
    <w:rsid w:val="007C6DA4"/>
    <w:rsid w:val="007E295A"/>
    <w:rsid w:val="007E3E21"/>
    <w:rsid w:val="007E5C79"/>
    <w:rsid w:val="007E5D2D"/>
    <w:rsid w:val="007E6F94"/>
    <w:rsid w:val="007F13F0"/>
    <w:rsid w:val="007F4434"/>
    <w:rsid w:val="007F52A2"/>
    <w:rsid w:val="007F5B01"/>
    <w:rsid w:val="007F64E9"/>
    <w:rsid w:val="00804E4C"/>
    <w:rsid w:val="008059FF"/>
    <w:rsid w:val="00805AE6"/>
    <w:rsid w:val="0081007E"/>
    <w:rsid w:val="00811C74"/>
    <w:rsid w:val="008165E7"/>
    <w:rsid w:val="00820D38"/>
    <w:rsid w:val="00827E0E"/>
    <w:rsid w:val="0083101B"/>
    <w:rsid w:val="008340F1"/>
    <w:rsid w:val="00835D7D"/>
    <w:rsid w:val="00837EB0"/>
    <w:rsid w:val="00840059"/>
    <w:rsid w:val="00856C46"/>
    <w:rsid w:val="00861D29"/>
    <w:rsid w:val="00866960"/>
    <w:rsid w:val="00871611"/>
    <w:rsid w:val="00872B2B"/>
    <w:rsid w:val="00877381"/>
    <w:rsid w:val="00887A6E"/>
    <w:rsid w:val="008918A7"/>
    <w:rsid w:val="00894E17"/>
    <w:rsid w:val="00894E52"/>
    <w:rsid w:val="00895CB0"/>
    <w:rsid w:val="008A2618"/>
    <w:rsid w:val="008A2BBA"/>
    <w:rsid w:val="008A4154"/>
    <w:rsid w:val="008A567E"/>
    <w:rsid w:val="008C0161"/>
    <w:rsid w:val="008C0C4F"/>
    <w:rsid w:val="008C20E1"/>
    <w:rsid w:val="008C3D3D"/>
    <w:rsid w:val="008C557C"/>
    <w:rsid w:val="008D0494"/>
    <w:rsid w:val="008D125F"/>
    <w:rsid w:val="008D2D15"/>
    <w:rsid w:val="008F109C"/>
    <w:rsid w:val="008F2398"/>
    <w:rsid w:val="008F251D"/>
    <w:rsid w:val="008F7DB7"/>
    <w:rsid w:val="009114DA"/>
    <w:rsid w:val="009121CE"/>
    <w:rsid w:val="00912245"/>
    <w:rsid w:val="009149F8"/>
    <w:rsid w:val="00915DA5"/>
    <w:rsid w:val="00916996"/>
    <w:rsid w:val="00917107"/>
    <w:rsid w:val="009201A0"/>
    <w:rsid w:val="0092516B"/>
    <w:rsid w:val="0092630C"/>
    <w:rsid w:val="009264AF"/>
    <w:rsid w:val="00926722"/>
    <w:rsid w:val="0092692B"/>
    <w:rsid w:val="00940052"/>
    <w:rsid w:val="00940AD7"/>
    <w:rsid w:val="00940FE2"/>
    <w:rsid w:val="00946817"/>
    <w:rsid w:val="009524FE"/>
    <w:rsid w:val="0095637D"/>
    <w:rsid w:val="00962E12"/>
    <w:rsid w:val="009653FE"/>
    <w:rsid w:val="009705ED"/>
    <w:rsid w:val="009830FA"/>
    <w:rsid w:val="009855F2"/>
    <w:rsid w:val="00986808"/>
    <w:rsid w:val="00986A97"/>
    <w:rsid w:val="009A1A58"/>
    <w:rsid w:val="009A2F26"/>
    <w:rsid w:val="009A36AA"/>
    <w:rsid w:val="009A3EBA"/>
    <w:rsid w:val="009A4447"/>
    <w:rsid w:val="009C29CB"/>
    <w:rsid w:val="009C5C56"/>
    <w:rsid w:val="009D1CD2"/>
    <w:rsid w:val="009D759B"/>
    <w:rsid w:val="009E1FC4"/>
    <w:rsid w:val="009E71FA"/>
    <w:rsid w:val="009F2ABB"/>
    <w:rsid w:val="009F539E"/>
    <w:rsid w:val="00A027C8"/>
    <w:rsid w:val="00A03D3C"/>
    <w:rsid w:val="00A0464A"/>
    <w:rsid w:val="00A0541A"/>
    <w:rsid w:val="00A066A7"/>
    <w:rsid w:val="00A07B5F"/>
    <w:rsid w:val="00A12459"/>
    <w:rsid w:val="00A12FD7"/>
    <w:rsid w:val="00A13836"/>
    <w:rsid w:val="00A224FE"/>
    <w:rsid w:val="00A32C9C"/>
    <w:rsid w:val="00A41E3B"/>
    <w:rsid w:val="00A42A26"/>
    <w:rsid w:val="00A42EEB"/>
    <w:rsid w:val="00A46A73"/>
    <w:rsid w:val="00A5439B"/>
    <w:rsid w:val="00A54F9B"/>
    <w:rsid w:val="00A57B15"/>
    <w:rsid w:val="00A618D8"/>
    <w:rsid w:val="00A62ADF"/>
    <w:rsid w:val="00A635BB"/>
    <w:rsid w:val="00A804E6"/>
    <w:rsid w:val="00A80987"/>
    <w:rsid w:val="00A86796"/>
    <w:rsid w:val="00AA03B7"/>
    <w:rsid w:val="00AA10A8"/>
    <w:rsid w:val="00AA39C9"/>
    <w:rsid w:val="00AA56F5"/>
    <w:rsid w:val="00AB094D"/>
    <w:rsid w:val="00AB3587"/>
    <w:rsid w:val="00AB3C6C"/>
    <w:rsid w:val="00AB7234"/>
    <w:rsid w:val="00AB7E01"/>
    <w:rsid w:val="00AC7A56"/>
    <w:rsid w:val="00AD324C"/>
    <w:rsid w:val="00AD492D"/>
    <w:rsid w:val="00AE3CE3"/>
    <w:rsid w:val="00AE5358"/>
    <w:rsid w:val="00AE5FE5"/>
    <w:rsid w:val="00AF063A"/>
    <w:rsid w:val="00B009E2"/>
    <w:rsid w:val="00B0141F"/>
    <w:rsid w:val="00B05F24"/>
    <w:rsid w:val="00B10B15"/>
    <w:rsid w:val="00B1312F"/>
    <w:rsid w:val="00B13164"/>
    <w:rsid w:val="00B16A4C"/>
    <w:rsid w:val="00B21007"/>
    <w:rsid w:val="00B24A2E"/>
    <w:rsid w:val="00B26A9F"/>
    <w:rsid w:val="00B3144B"/>
    <w:rsid w:val="00B460BF"/>
    <w:rsid w:val="00B50EC3"/>
    <w:rsid w:val="00B51DEF"/>
    <w:rsid w:val="00B6560D"/>
    <w:rsid w:val="00B67090"/>
    <w:rsid w:val="00B67F1A"/>
    <w:rsid w:val="00B8156C"/>
    <w:rsid w:val="00B83010"/>
    <w:rsid w:val="00B84799"/>
    <w:rsid w:val="00B87DAD"/>
    <w:rsid w:val="00BA266A"/>
    <w:rsid w:val="00BA4F7A"/>
    <w:rsid w:val="00BA5987"/>
    <w:rsid w:val="00BA767C"/>
    <w:rsid w:val="00BB1C4A"/>
    <w:rsid w:val="00BB7576"/>
    <w:rsid w:val="00BC0386"/>
    <w:rsid w:val="00BC331F"/>
    <w:rsid w:val="00BD296B"/>
    <w:rsid w:val="00BD4A7B"/>
    <w:rsid w:val="00BE2E1C"/>
    <w:rsid w:val="00BE33C0"/>
    <w:rsid w:val="00BF0B4A"/>
    <w:rsid w:val="00BF1EE0"/>
    <w:rsid w:val="00BF6BD8"/>
    <w:rsid w:val="00C00E21"/>
    <w:rsid w:val="00C102F2"/>
    <w:rsid w:val="00C1082B"/>
    <w:rsid w:val="00C13A1D"/>
    <w:rsid w:val="00C15262"/>
    <w:rsid w:val="00C1603C"/>
    <w:rsid w:val="00C22C69"/>
    <w:rsid w:val="00C25A2A"/>
    <w:rsid w:val="00C34903"/>
    <w:rsid w:val="00C36D3C"/>
    <w:rsid w:val="00C537D3"/>
    <w:rsid w:val="00C54E88"/>
    <w:rsid w:val="00C55BAF"/>
    <w:rsid w:val="00C5781A"/>
    <w:rsid w:val="00C6205C"/>
    <w:rsid w:val="00C66B0B"/>
    <w:rsid w:val="00C75A20"/>
    <w:rsid w:val="00C7615B"/>
    <w:rsid w:val="00C80DF5"/>
    <w:rsid w:val="00C81D40"/>
    <w:rsid w:val="00C82137"/>
    <w:rsid w:val="00C84AC1"/>
    <w:rsid w:val="00C92E37"/>
    <w:rsid w:val="00C96256"/>
    <w:rsid w:val="00CA5979"/>
    <w:rsid w:val="00CC0155"/>
    <w:rsid w:val="00CC1A2F"/>
    <w:rsid w:val="00CC753A"/>
    <w:rsid w:val="00CD4EDB"/>
    <w:rsid w:val="00CD576A"/>
    <w:rsid w:val="00CE11A7"/>
    <w:rsid w:val="00CE3C86"/>
    <w:rsid w:val="00CE4745"/>
    <w:rsid w:val="00CF772D"/>
    <w:rsid w:val="00D009BE"/>
    <w:rsid w:val="00D054D0"/>
    <w:rsid w:val="00D10610"/>
    <w:rsid w:val="00D1093F"/>
    <w:rsid w:val="00D13F4F"/>
    <w:rsid w:val="00D16ADA"/>
    <w:rsid w:val="00D16FFE"/>
    <w:rsid w:val="00D20227"/>
    <w:rsid w:val="00D22EF3"/>
    <w:rsid w:val="00D31972"/>
    <w:rsid w:val="00D31F42"/>
    <w:rsid w:val="00D47D6C"/>
    <w:rsid w:val="00D5254E"/>
    <w:rsid w:val="00D531EC"/>
    <w:rsid w:val="00D5511E"/>
    <w:rsid w:val="00D57561"/>
    <w:rsid w:val="00D60EF4"/>
    <w:rsid w:val="00D61FC5"/>
    <w:rsid w:val="00D654EA"/>
    <w:rsid w:val="00D82CC7"/>
    <w:rsid w:val="00D86429"/>
    <w:rsid w:val="00D9448A"/>
    <w:rsid w:val="00D9678E"/>
    <w:rsid w:val="00DA46A6"/>
    <w:rsid w:val="00DA56A8"/>
    <w:rsid w:val="00DD4BC9"/>
    <w:rsid w:val="00DD4DDD"/>
    <w:rsid w:val="00DF0DD5"/>
    <w:rsid w:val="00E02F45"/>
    <w:rsid w:val="00E04171"/>
    <w:rsid w:val="00E06881"/>
    <w:rsid w:val="00E142C4"/>
    <w:rsid w:val="00E20746"/>
    <w:rsid w:val="00E243ED"/>
    <w:rsid w:val="00E273FB"/>
    <w:rsid w:val="00E5567B"/>
    <w:rsid w:val="00E556E1"/>
    <w:rsid w:val="00E62E3B"/>
    <w:rsid w:val="00E63531"/>
    <w:rsid w:val="00E63CC0"/>
    <w:rsid w:val="00E641B5"/>
    <w:rsid w:val="00E72369"/>
    <w:rsid w:val="00E724CF"/>
    <w:rsid w:val="00E7451D"/>
    <w:rsid w:val="00E83313"/>
    <w:rsid w:val="00E840E9"/>
    <w:rsid w:val="00E864C7"/>
    <w:rsid w:val="00EA2F8E"/>
    <w:rsid w:val="00EA30D8"/>
    <w:rsid w:val="00EA7385"/>
    <w:rsid w:val="00EB3158"/>
    <w:rsid w:val="00EB7222"/>
    <w:rsid w:val="00EC20B4"/>
    <w:rsid w:val="00EC4289"/>
    <w:rsid w:val="00EC5876"/>
    <w:rsid w:val="00EC69F7"/>
    <w:rsid w:val="00ED0E3C"/>
    <w:rsid w:val="00ED4DA4"/>
    <w:rsid w:val="00ED5E9A"/>
    <w:rsid w:val="00ED717E"/>
    <w:rsid w:val="00ED7907"/>
    <w:rsid w:val="00EE15C9"/>
    <w:rsid w:val="00EE22DC"/>
    <w:rsid w:val="00EE2695"/>
    <w:rsid w:val="00EF199C"/>
    <w:rsid w:val="00EF30DF"/>
    <w:rsid w:val="00EF4BF2"/>
    <w:rsid w:val="00EF619D"/>
    <w:rsid w:val="00F00A7E"/>
    <w:rsid w:val="00F0102E"/>
    <w:rsid w:val="00F13D50"/>
    <w:rsid w:val="00F15C51"/>
    <w:rsid w:val="00F16A4D"/>
    <w:rsid w:val="00F2080F"/>
    <w:rsid w:val="00F21065"/>
    <w:rsid w:val="00F35DF6"/>
    <w:rsid w:val="00F3659A"/>
    <w:rsid w:val="00F4099D"/>
    <w:rsid w:val="00F45975"/>
    <w:rsid w:val="00F5072E"/>
    <w:rsid w:val="00F55D3C"/>
    <w:rsid w:val="00F60F28"/>
    <w:rsid w:val="00F64FF2"/>
    <w:rsid w:val="00F8640A"/>
    <w:rsid w:val="00F87036"/>
    <w:rsid w:val="00F96E72"/>
    <w:rsid w:val="00FA51F4"/>
    <w:rsid w:val="00FA5A0F"/>
    <w:rsid w:val="00FB1295"/>
    <w:rsid w:val="00FB1384"/>
    <w:rsid w:val="00FB2323"/>
    <w:rsid w:val="00FB593B"/>
    <w:rsid w:val="00FB6A37"/>
    <w:rsid w:val="00FB6C65"/>
    <w:rsid w:val="00FB6D84"/>
    <w:rsid w:val="00FC3A11"/>
    <w:rsid w:val="00FC44E0"/>
    <w:rsid w:val="00FC7B2B"/>
    <w:rsid w:val="00FD1504"/>
    <w:rsid w:val="00FD4327"/>
    <w:rsid w:val="00FD7C48"/>
    <w:rsid w:val="00FE0CA6"/>
    <w:rsid w:val="00FE2CC2"/>
    <w:rsid w:val="00FE6A27"/>
    <w:rsid w:val="00FE7E9E"/>
    <w:rsid w:val="00FF280F"/>
    <w:rsid w:val="60276314"/>
    <w:rsid w:val="62A738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8DAF2"/>
  <w15:docId w15:val="{C1B865BE-992F-4DD5-BA1E-DBC7C35A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Calibri" w:eastAsia="宋体" w:hAnsi="Calibri" w:cs="Times New Roman"/>
      <w:kern w:val="1"/>
      <w:sz w:val="21"/>
      <w:szCs w:val="22"/>
    </w:rPr>
  </w:style>
  <w:style w:type="paragraph" w:styleId="1">
    <w:name w:val="heading 1"/>
    <w:basedOn w:val="a"/>
    <w:next w:val="a"/>
    <w:link w:val="10"/>
    <w:uiPriority w:val="9"/>
    <w:qFormat/>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rPr>
      <w:sz w:val="21"/>
      <w:szCs w:val="21"/>
    </w:rPr>
  </w:style>
  <w:style w:type="character" w:customStyle="1" w:styleId="a4">
    <w:name w:val="批注文字 字符"/>
    <w:basedOn w:val="a0"/>
    <w:link w:val="a3"/>
    <w:uiPriority w:val="99"/>
    <w:semiHidden/>
    <w:qFormat/>
    <w:rPr>
      <w:rFonts w:ascii="Calibri" w:eastAsia="宋体" w:hAnsi="Calibri" w:cs="Times New Roman"/>
      <w:kern w:val="1"/>
    </w:rPr>
  </w:style>
  <w:style w:type="character" w:customStyle="1" w:styleId="ac">
    <w:name w:val="批注主题 字符"/>
    <w:basedOn w:val="a4"/>
    <w:link w:val="ab"/>
    <w:uiPriority w:val="99"/>
    <w:semiHidden/>
    <w:rPr>
      <w:rFonts w:ascii="Calibri" w:eastAsia="宋体" w:hAnsi="Calibri" w:cs="Times New Roman"/>
      <w:b/>
      <w:bCs/>
      <w:kern w:val="1"/>
    </w:rPr>
  </w:style>
  <w:style w:type="character" w:customStyle="1" w:styleId="a6">
    <w:name w:val="批注框文本 字符"/>
    <w:basedOn w:val="a0"/>
    <w:link w:val="a5"/>
    <w:uiPriority w:val="99"/>
    <w:semiHidden/>
    <w:qFormat/>
    <w:rPr>
      <w:rFonts w:ascii="Calibri" w:eastAsia="宋体" w:hAnsi="Calibri" w:cs="Times New Roman"/>
      <w:kern w:val="1"/>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aa">
    <w:name w:val="页眉 字符"/>
    <w:basedOn w:val="a0"/>
    <w:link w:val="a9"/>
    <w:uiPriority w:val="99"/>
    <w:qFormat/>
    <w:rPr>
      <w:rFonts w:ascii="Calibri" w:eastAsia="宋体" w:hAnsi="Calibri" w:cs="Times New Roman"/>
      <w:kern w:val="1"/>
      <w:sz w:val="18"/>
      <w:szCs w:val="18"/>
    </w:rPr>
  </w:style>
  <w:style w:type="character" w:customStyle="1" w:styleId="a8">
    <w:name w:val="页脚 字符"/>
    <w:basedOn w:val="a0"/>
    <w:link w:val="a7"/>
    <w:uiPriority w:val="99"/>
    <w:qFormat/>
    <w:rPr>
      <w:rFonts w:ascii="Calibri" w:eastAsia="宋体" w:hAnsi="Calibri" w:cs="Times New Roman"/>
      <w:kern w:val="1"/>
      <w:sz w:val="18"/>
      <w:szCs w:val="18"/>
    </w:rPr>
  </w:style>
  <w:style w:type="paragraph" w:styleId="af">
    <w:name w:val="No Spacing"/>
    <w:uiPriority w:val="1"/>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Calibri" w:eastAsia="宋体" w:hAnsi="Calibri" w:cs="Times New Roman"/>
      <w:kern w:val="1"/>
      <w:sz w:val="21"/>
      <w:szCs w:val="22"/>
    </w:rPr>
  </w:style>
  <w:style w:type="character" w:customStyle="1" w:styleId="apple-converted-space">
    <w:name w:val="apple-converted-space"/>
    <w:basedOn w:val="a0"/>
    <w:qFormat/>
  </w:style>
  <w:style w:type="paragraph" w:styleId="af0">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B7E41-9FA8-4588-B66D-4B5B91606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8</Pages>
  <Words>887</Words>
  <Characters>5061</Characters>
  <Application>Microsoft Office Word</Application>
  <DocSecurity>0</DocSecurity>
  <Lines>42</Lines>
  <Paragraphs>11</Paragraphs>
  <ScaleCrop>false</ScaleCrop>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infaith Mancy</dc:creator>
  <cp:lastModifiedBy>wqy</cp:lastModifiedBy>
  <cp:revision>99</cp:revision>
  <cp:lastPrinted>2023-03-09T03:47:00Z</cp:lastPrinted>
  <dcterms:created xsi:type="dcterms:W3CDTF">2023-03-01T10:15:00Z</dcterms:created>
  <dcterms:modified xsi:type="dcterms:W3CDTF">2023-03-09T03:56:00Z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8530742DA75D41D7BD246E3754570EEE</vt:lpwstr>
  </property>
</Properties>
</file>