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2" w:rsidRPr="00352F7C" w:rsidRDefault="00A92DCB">
      <w:pPr>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公告编号：</w:t>
      </w:r>
      <w:r w:rsidR="00651EBC">
        <w:rPr>
          <w:rFonts w:asciiTheme="minorEastAsia" w:eastAsiaTheme="minorEastAsia" w:hAnsiTheme="minorEastAsia"/>
          <w:sz w:val="24"/>
          <w:szCs w:val="24"/>
        </w:rPr>
        <w:t>202</w:t>
      </w:r>
      <w:r w:rsidR="001E6C18">
        <w:rPr>
          <w:rFonts w:asciiTheme="minorEastAsia" w:eastAsiaTheme="minorEastAsia" w:hAnsiTheme="minorEastAsia"/>
          <w:sz w:val="24"/>
          <w:szCs w:val="24"/>
        </w:rPr>
        <w:t>4</w:t>
      </w:r>
      <w:r w:rsidR="005B317E">
        <w:rPr>
          <w:rFonts w:asciiTheme="minorEastAsia" w:eastAsiaTheme="minorEastAsia" w:hAnsiTheme="minorEastAsia"/>
          <w:sz w:val="24"/>
          <w:szCs w:val="24"/>
        </w:rPr>
        <w:t>-</w:t>
      </w:r>
      <w:r w:rsidR="00E4037D">
        <w:rPr>
          <w:rFonts w:asciiTheme="minorEastAsia" w:eastAsiaTheme="minorEastAsia" w:hAnsiTheme="minorEastAsia"/>
          <w:sz w:val="24"/>
          <w:szCs w:val="24"/>
        </w:rPr>
        <w:t>029</w:t>
      </w:r>
    </w:p>
    <w:p w:rsidR="00E64872" w:rsidRDefault="00E64872">
      <w:pPr>
        <w:spacing w:line="360" w:lineRule="auto"/>
        <w:ind w:firstLine="723"/>
        <w:jc w:val="center"/>
        <w:rPr>
          <w:rFonts w:asciiTheme="minorEastAsia" w:eastAsiaTheme="minorEastAsia" w:hAnsiTheme="minorEastAsia"/>
          <w:b/>
          <w:color w:val="FF0000"/>
          <w:sz w:val="36"/>
          <w:szCs w:val="36"/>
        </w:rPr>
      </w:pPr>
    </w:p>
    <w:p w:rsidR="00E64872" w:rsidRDefault="00A92DCB">
      <w:pPr>
        <w:spacing w:beforeLines="50" w:before="120" w:afterLines="50" w:after="120" w:line="300" w:lineRule="auto"/>
        <w:jc w:val="center"/>
        <w:rPr>
          <w:rFonts w:asciiTheme="minorEastAsia" w:eastAsiaTheme="minorEastAsia" w:hAnsiTheme="minorEastAsia"/>
          <w:b/>
          <w:color w:val="FF0000"/>
          <w:sz w:val="32"/>
          <w:szCs w:val="32"/>
        </w:rPr>
      </w:pPr>
      <w:r>
        <w:rPr>
          <w:rFonts w:asciiTheme="minorEastAsia" w:eastAsiaTheme="minorEastAsia" w:hAnsiTheme="minorEastAsia" w:hint="eastAsia"/>
          <w:b/>
          <w:color w:val="FF0000"/>
          <w:sz w:val="32"/>
          <w:szCs w:val="32"/>
        </w:rPr>
        <w:t>山东步长制药股份有限公司</w:t>
      </w:r>
    </w:p>
    <w:p w:rsidR="00E64872" w:rsidRDefault="00A92DCB">
      <w:pPr>
        <w:spacing w:beforeLines="50" w:before="120" w:afterLines="50" w:after="120" w:line="300" w:lineRule="auto"/>
        <w:jc w:val="center"/>
        <w:rPr>
          <w:rFonts w:asciiTheme="minorEastAsia" w:eastAsiaTheme="minorEastAsia" w:hAnsiTheme="minorEastAsia"/>
          <w:b/>
          <w:color w:val="FF0000"/>
          <w:sz w:val="32"/>
          <w:szCs w:val="32"/>
        </w:rPr>
      </w:pPr>
      <w:r>
        <w:rPr>
          <w:rFonts w:asciiTheme="minorEastAsia" w:eastAsiaTheme="minorEastAsia" w:hAnsiTheme="minorEastAsia" w:hint="eastAsia"/>
          <w:b/>
          <w:color w:val="FF0000"/>
          <w:sz w:val="32"/>
          <w:szCs w:val="32"/>
        </w:rPr>
        <w:t>关于为</w:t>
      </w:r>
      <w:r w:rsidR="004C6047">
        <w:rPr>
          <w:rFonts w:asciiTheme="minorEastAsia" w:eastAsiaTheme="minorEastAsia" w:hAnsiTheme="minorEastAsia" w:hint="eastAsia"/>
          <w:b/>
          <w:color w:val="FF0000"/>
          <w:sz w:val="32"/>
          <w:szCs w:val="32"/>
        </w:rPr>
        <w:t>公司</w:t>
      </w:r>
      <w:r w:rsidR="00AD3FC1">
        <w:rPr>
          <w:rFonts w:asciiTheme="minorEastAsia" w:eastAsiaTheme="minorEastAsia" w:hAnsiTheme="minorEastAsia" w:hint="eastAsia"/>
          <w:b/>
          <w:color w:val="FF0000"/>
          <w:sz w:val="32"/>
          <w:szCs w:val="32"/>
        </w:rPr>
        <w:t>全资</w:t>
      </w:r>
      <w:r>
        <w:rPr>
          <w:rFonts w:asciiTheme="minorEastAsia" w:eastAsiaTheme="minorEastAsia" w:hAnsiTheme="minorEastAsia" w:hint="eastAsia"/>
          <w:b/>
          <w:color w:val="FF0000"/>
          <w:sz w:val="32"/>
          <w:szCs w:val="32"/>
        </w:rPr>
        <w:t>子公司提供担保的公告</w:t>
      </w:r>
    </w:p>
    <w:p w:rsidR="00E64872" w:rsidRDefault="00A92DCB">
      <w:pPr>
        <w:pBdr>
          <w:top w:val="single" w:sz="4" w:space="1" w:color="000000"/>
          <w:left w:val="single" w:sz="4" w:space="4" w:color="000000"/>
          <w:bottom w:val="single" w:sz="4" w:space="9" w:color="000000"/>
          <w:right w:val="single" w:sz="4" w:space="4" w:color="000000"/>
        </w:pBdr>
        <w:spacing w:line="52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本公司</w:t>
      </w:r>
      <w:r>
        <w:rPr>
          <w:rFonts w:asciiTheme="minorEastAsia" w:eastAsiaTheme="minorEastAsia" w:hAnsiTheme="minorEastAsia" w:hint="eastAsia"/>
          <w:sz w:val="24"/>
          <w:szCs w:val="24"/>
        </w:rPr>
        <w:t>董事会</w:t>
      </w:r>
      <w:r>
        <w:rPr>
          <w:rFonts w:asciiTheme="minorEastAsia" w:eastAsiaTheme="minorEastAsia" w:hAnsiTheme="minorEastAsia"/>
          <w:sz w:val="24"/>
          <w:szCs w:val="24"/>
        </w:rPr>
        <w:t>及</w:t>
      </w:r>
      <w:r>
        <w:rPr>
          <w:rFonts w:asciiTheme="minorEastAsia" w:eastAsiaTheme="minorEastAsia" w:hAnsiTheme="minorEastAsia" w:hint="eastAsia"/>
          <w:sz w:val="24"/>
          <w:szCs w:val="24"/>
        </w:rPr>
        <w:t>全体</w:t>
      </w:r>
      <w:r>
        <w:rPr>
          <w:rFonts w:asciiTheme="minorEastAsia" w:eastAsiaTheme="minorEastAsia" w:hAnsiTheme="minorEastAsia"/>
          <w:sz w:val="24"/>
          <w:szCs w:val="24"/>
        </w:rPr>
        <w:t>董事保证</w:t>
      </w:r>
      <w:r>
        <w:rPr>
          <w:rFonts w:asciiTheme="minorEastAsia" w:eastAsiaTheme="minorEastAsia" w:hAnsiTheme="minorEastAsia" w:hint="eastAsia"/>
          <w:sz w:val="24"/>
          <w:szCs w:val="24"/>
        </w:rPr>
        <w:t>本</w:t>
      </w:r>
      <w:r>
        <w:rPr>
          <w:rFonts w:asciiTheme="minorEastAsia" w:eastAsiaTheme="minorEastAsia" w:hAnsiTheme="minorEastAsia"/>
          <w:sz w:val="24"/>
          <w:szCs w:val="24"/>
        </w:rPr>
        <w:t>公告内容不存在</w:t>
      </w:r>
      <w:r>
        <w:rPr>
          <w:rFonts w:asciiTheme="minorEastAsia" w:eastAsiaTheme="minorEastAsia" w:hAnsiTheme="minorEastAsia" w:hint="eastAsia"/>
          <w:sz w:val="24"/>
          <w:szCs w:val="24"/>
        </w:rPr>
        <w:t>任何</w:t>
      </w:r>
      <w:r>
        <w:rPr>
          <w:rFonts w:asciiTheme="minorEastAsia" w:eastAsiaTheme="minorEastAsia" w:hAnsiTheme="minorEastAsia"/>
          <w:sz w:val="24"/>
          <w:szCs w:val="24"/>
        </w:rPr>
        <w:t>虚假记载、误导性陈述或者重大遗漏，并对其内容的真实性、准确性和完整性承担</w:t>
      </w:r>
      <w:r>
        <w:rPr>
          <w:rFonts w:asciiTheme="minorEastAsia" w:eastAsiaTheme="minorEastAsia" w:hAnsiTheme="minorEastAsia" w:hint="eastAsia"/>
          <w:sz w:val="24"/>
          <w:szCs w:val="24"/>
        </w:rPr>
        <w:t>法律</w:t>
      </w:r>
      <w:r>
        <w:rPr>
          <w:rFonts w:asciiTheme="minorEastAsia" w:eastAsiaTheme="minorEastAsia" w:hAnsiTheme="minorEastAsia"/>
          <w:sz w:val="24"/>
          <w:szCs w:val="24"/>
        </w:rPr>
        <w:t>责任。</w:t>
      </w:r>
    </w:p>
    <w:p w:rsidR="00E64872" w:rsidRDefault="00E64872">
      <w:pPr>
        <w:spacing w:line="360" w:lineRule="auto"/>
        <w:ind w:firstLineChars="200" w:firstLine="482"/>
        <w:rPr>
          <w:rFonts w:asciiTheme="minorEastAsia" w:eastAsiaTheme="minorEastAsia" w:hAnsiTheme="minorEastAsia"/>
          <w:b/>
          <w:sz w:val="24"/>
          <w:szCs w:val="24"/>
        </w:rPr>
      </w:pPr>
    </w:p>
    <w:p w:rsidR="00E64872" w:rsidRDefault="00A92DC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重要内容提示：</w:t>
      </w:r>
    </w:p>
    <w:p w:rsidR="00E64872" w:rsidRDefault="00A92DCB" w:rsidP="00651EBC">
      <w:pPr>
        <w:pStyle w:val="af0"/>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被担保</w:t>
      </w:r>
      <w:r>
        <w:rPr>
          <w:rFonts w:asciiTheme="minorEastAsia" w:eastAsiaTheme="minorEastAsia" w:hAnsiTheme="minorEastAsia"/>
          <w:sz w:val="24"/>
          <w:szCs w:val="24"/>
        </w:rPr>
        <w:t>人名</w:t>
      </w:r>
      <w:r>
        <w:rPr>
          <w:rFonts w:asciiTheme="minorEastAsia" w:eastAsiaTheme="minorEastAsia" w:hAnsiTheme="minorEastAsia" w:hint="eastAsia"/>
          <w:sz w:val="24"/>
          <w:szCs w:val="24"/>
        </w:rPr>
        <w:t>称及是否为上市公司关联人</w:t>
      </w:r>
      <w:r>
        <w:rPr>
          <w:rFonts w:asciiTheme="minorEastAsia" w:eastAsiaTheme="minorEastAsia" w:hAnsiTheme="minorEastAsia"/>
          <w:sz w:val="24"/>
          <w:szCs w:val="24"/>
        </w:rPr>
        <w:t>：</w:t>
      </w:r>
      <w:r w:rsidR="00AD3FC1">
        <w:rPr>
          <w:rFonts w:asciiTheme="minorEastAsia" w:eastAsiaTheme="minorEastAsia" w:hAnsiTheme="minorEastAsia" w:hint="eastAsia"/>
          <w:sz w:val="24"/>
          <w:szCs w:val="24"/>
        </w:rPr>
        <w:t>陕西步长</w:t>
      </w:r>
      <w:r w:rsidR="002F73E7">
        <w:rPr>
          <w:rFonts w:asciiTheme="minorEastAsia" w:eastAsiaTheme="minorEastAsia" w:hAnsiTheme="minorEastAsia" w:hint="eastAsia"/>
          <w:sz w:val="24"/>
          <w:szCs w:val="24"/>
        </w:rPr>
        <w:t>制药</w:t>
      </w:r>
      <w:r w:rsidR="00651EBC" w:rsidRPr="00651EBC">
        <w:rPr>
          <w:rFonts w:asciiTheme="minorEastAsia" w:eastAsiaTheme="minorEastAsia" w:hAnsiTheme="minorEastAsia" w:hint="eastAsia"/>
          <w:sz w:val="24"/>
          <w:szCs w:val="24"/>
        </w:rPr>
        <w:t>有限公司</w:t>
      </w:r>
      <w:r>
        <w:rPr>
          <w:rFonts w:asciiTheme="minorEastAsia" w:eastAsiaTheme="minorEastAsia" w:hAnsiTheme="minorEastAsia" w:hint="eastAsia"/>
          <w:sz w:val="24"/>
          <w:szCs w:val="24"/>
        </w:rPr>
        <w:t>，为公司</w:t>
      </w:r>
      <w:r w:rsidR="00AD3FC1">
        <w:rPr>
          <w:rFonts w:asciiTheme="minorEastAsia" w:eastAsiaTheme="minorEastAsia" w:hAnsiTheme="minorEastAsia" w:hint="eastAsia"/>
          <w:sz w:val="24"/>
          <w:szCs w:val="24"/>
        </w:rPr>
        <w:t>全资</w:t>
      </w:r>
      <w:r>
        <w:rPr>
          <w:rFonts w:asciiTheme="minorEastAsia" w:eastAsiaTheme="minorEastAsia" w:hAnsiTheme="minorEastAsia" w:hint="eastAsia"/>
          <w:sz w:val="24"/>
          <w:szCs w:val="24"/>
        </w:rPr>
        <w:t>子公司。</w:t>
      </w:r>
    </w:p>
    <w:p w:rsidR="00ED1EB2" w:rsidRPr="00ED1EB2" w:rsidRDefault="00ED1EB2" w:rsidP="009962C9">
      <w:pPr>
        <w:pStyle w:val="af1"/>
        <w:numPr>
          <w:ilvl w:val="0"/>
          <w:numId w:val="1"/>
        </w:numPr>
        <w:spacing w:line="360" w:lineRule="auto"/>
        <w:ind w:firstLineChars="0"/>
        <w:rPr>
          <w:rFonts w:asciiTheme="minorEastAsia" w:eastAsiaTheme="minorEastAsia" w:hAnsiTheme="minorEastAsia"/>
          <w:b/>
          <w:sz w:val="24"/>
          <w:szCs w:val="24"/>
        </w:rPr>
      </w:pPr>
      <w:r w:rsidRPr="00ED1EB2">
        <w:rPr>
          <w:rFonts w:asciiTheme="minorEastAsia" w:eastAsiaTheme="minorEastAsia" w:hAnsiTheme="minorEastAsia" w:hint="eastAsia"/>
          <w:bCs/>
          <w:sz w:val="24"/>
          <w:szCs w:val="24"/>
        </w:rPr>
        <w:t>本次担保金额及实际为其提供的担保余额：本次为陕西步长制药有限公司提供的担保金额为人民币</w:t>
      </w:r>
      <w:r w:rsidR="00E4037D">
        <w:rPr>
          <w:rFonts w:asciiTheme="minorEastAsia" w:eastAsiaTheme="minorEastAsia" w:hAnsiTheme="minorEastAsia"/>
          <w:bCs/>
          <w:sz w:val="24"/>
          <w:szCs w:val="24"/>
        </w:rPr>
        <w:t>18</w:t>
      </w:r>
      <w:r w:rsidRPr="00ED1EB2">
        <w:rPr>
          <w:rFonts w:asciiTheme="minorEastAsia" w:eastAsiaTheme="minorEastAsia" w:hAnsiTheme="minorEastAsia"/>
          <w:bCs/>
          <w:sz w:val="24"/>
          <w:szCs w:val="24"/>
        </w:rPr>
        <w:t>,000</w:t>
      </w:r>
      <w:r w:rsidRPr="00ED1EB2">
        <w:rPr>
          <w:rFonts w:asciiTheme="minorEastAsia" w:eastAsiaTheme="minorEastAsia" w:hAnsiTheme="minorEastAsia" w:hint="eastAsia"/>
          <w:bCs/>
          <w:sz w:val="24"/>
          <w:szCs w:val="24"/>
        </w:rPr>
        <w:t>万元。截至本次担保前，已为其提供的担保余额为人民币</w:t>
      </w:r>
      <w:r w:rsidR="009E25C1">
        <w:rPr>
          <w:rFonts w:asciiTheme="minorEastAsia" w:eastAsiaTheme="minorEastAsia" w:hAnsiTheme="minorEastAsia"/>
          <w:bCs/>
          <w:sz w:val="24"/>
          <w:szCs w:val="24"/>
        </w:rPr>
        <w:t>29</w:t>
      </w:r>
      <w:r w:rsidR="009E25C1">
        <w:rPr>
          <w:rFonts w:asciiTheme="minorEastAsia" w:eastAsiaTheme="minorEastAsia" w:hAnsiTheme="minorEastAsia" w:hint="eastAsia"/>
          <w:bCs/>
          <w:sz w:val="24"/>
          <w:szCs w:val="24"/>
        </w:rPr>
        <w:t>,</w:t>
      </w:r>
      <w:bookmarkStart w:id="0" w:name="_GoBack"/>
      <w:bookmarkEnd w:id="0"/>
      <w:r w:rsidR="009E25C1">
        <w:rPr>
          <w:rFonts w:asciiTheme="minorEastAsia" w:eastAsiaTheme="minorEastAsia" w:hAnsiTheme="minorEastAsia"/>
          <w:bCs/>
          <w:sz w:val="24"/>
          <w:szCs w:val="24"/>
        </w:rPr>
        <w:t>9</w:t>
      </w:r>
      <w:r w:rsidR="009962C9">
        <w:rPr>
          <w:rFonts w:asciiTheme="minorEastAsia" w:eastAsiaTheme="minorEastAsia" w:hAnsiTheme="minorEastAsia"/>
          <w:bCs/>
          <w:sz w:val="24"/>
          <w:szCs w:val="24"/>
        </w:rPr>
        <w:t>70</w:t>
      </w:r>
      <w:r w:rsidRPr="00ED1EB2">
        <w:rPr>
          <w:rFonts w:asciiTheme="minorEastAsia" w:eastAsiaTheme="minorEastAsia" w:hAnsiTheme="minorEastAsia" w:hint="eastAsia"/>
          <w:bCs/>
          <w:sz w:val="24"/>
          <w:szCs w:val="24"/>
        </w:rPr>
        <w:t>万元。公司及控股子公司已提供的担保余额为人民币</w:t>
      </w:r>
      <w:r w:rsidR="009962C9" w:rsidRPr="009962C9">
        <w:rPr>
          <w:rFonts w:asciiTheme="minorEastAsia" w:eastAsiaTheme="minorEastAsia" w:hAnsiTheme="minorEastAsia"/>
          <w:bCs/>
          <w:sz w:val="24"/>
          <w:szCs w:val="24"/>
        </w:rPr>
        <w:t>149</w:t>
      </w:r>
      <w:r w:rsidR="002B7944">
        <w:rPr>
          <w:rFonts w:asciiTheme="minorEastAsia" w:eastAsiaTheme="minorEastAsia" w:hAnsiTheme="minorEastAsia"/>
          <w:bCs/>
          <w:sz w:val="24"/>
          <w:szCs w:val="24"/>
        </w:rPr>
        <w:t>,</w:t>
      </w:r>
      <w:r w:rsidR="009962C9" w:rsidRPr="009962C9">
        <w:rPr>
          <w:rFonts w:asciiTheme="minorEastAsia" w:eastAsiaTheme="minorEastAsia" w:hAnsiTheme="minorEastAsia"/>
          <w:bCs/>
          <w:sz w:val="24"/>
          <w:szCs w:val="24"/>
        </w:rPr>
        <w:t>779</w:t>
      </w:r>
      <w:r w:rsidR="002B7944">
        <w:rPr>
          <w:rFonts w:asciiTheme="minorEastAsia" w:eastAsiaTheme="minorEastAsia" w:hAnsiTheme="minorEastAsia"/>
          <w:bCs/>
          <w:sz w:val="24"/>
          <w:szCs w:val="24"/>
        </w:rPr>
        <w:t>.</w:t>
      </w:r>
      <w:r w:rsidR="009962C9" w:rsidRPr="009962C9">
        <w:rPr>
          <w:rFonts w:asciiTheme="minorEastAsia" w:eastAsiaTheme="minorEastAsia" w:hAnsiTheme="minorEastAsia"/>
          <w:bCs/>
          <w:sz w:val="24"/>
          <w:szCs w:val="24"/>
        </w:rPr>
        <w:t>0</w:t>
      </w:r>
      <w:r w:rsidR="002B7944">
        <w:rPr>
          <w:rFonts w:asciiTheme="minorEastAsia" w:eastAsiaTheme="minorEastAsia" w:hAnsiTheme="minorEastAsia"/>
          <w:bCs/>
          <w:sz w:val="24"/>
          <w:szCs w:val="24"/>
        </w:rPr>
        <w:t>5</w:t>
      </w:r>
      <w:r w:rsidR="002B7944">
        <w:rPr>
          <w:rFonts w:asciiTheme="minorEastAsia" w:eastAsiaTheme="minorEastAsia" w:hAnsiTheme="minorEastAsia" w:hint="eastAsia"/>
          <w:bCs/>
          <w:sz w:val="24"/>
          <w:szCs w:val="24"/>
        </w:rPr>
        <w:t>万</w:t>
      </w:r>
      <w:r w:rsidRPr="00ED1EB2">
        <w:rPr>
          <w:rFonts w:asciiTheme="minorEastAsia" w:eastAsiaTheme="minorEastAsia" w:hAnsiTheme="minorEastAsia" w:hint="eastAsia"/>
          <w:bCs/>
          <w:sz w:val="24"/>
          <w:szCs w:val="24"/>
        </w:rPr>
        <w:t>元（含本次担保）。</w:t>
      </w:r>
    </w:p>
    <w:p w:rsidR="00E64872" w:rsidRDefault="00A92DCB" w:rsidP="00ED1EB2">
      <w:pPr>
        <w:pStyle w:val="af1"/>
        <w:numPr>
          <w:ilvl w:val="0"/>
          <w:numId w:val="1"/>
        </w:numPr>
        <w:spacing w:line="360" w:lineRule="auto"/>
        <w:ind w:firstLineChars="0"/>
        <w:rPr>
          <w:rFonts w:asciiTheme="minorEastAsia" w:eastAsiaTheme="minorEastAsia" w:hAnsiTheme="minorEastAsia"/>
          <w:b/>
          <w:sz w:val="24"/>
          <w:szCs w:val="24"/>
        </w:rPr>
      </w:pPr>
      <w:r>
        <w:rPr>
          <w:rFonts w:asciiTheme="minorEastAsia" w:eastAsiaTheme="minorEastAsia" w:hAnsiTheme="minorEastAsia" w:hint="eastAsia"/>
          <w:sz w:val="24"/>
          <w:szCs w:val="24"/>
        </w:rPr>
        <w:t>是否</w:t>
      </w:r>
      <w:r>
        <w:rPr>
          <w:rFonts w:asciiTheme="minorEastAsia" w:eastAsiaTheme="minorEastAsia" w:hAnsiTheme="minorEastAsia"/>
          <w:sz w:val="24"/>
          <w:szCs w:val="24"/>
        </w:rPr>
        <w:t>有</w:t>
      </w:r>
      <w:r>
        <w:rPr>
          <w:rFonts w:asciiTheme="minorEastAsia" w:eastAsiaTheme="minorEastAsia" w:hAnsiTheme="minorEastAsia" w:hint="eastAsia"/>
          <w:sz w:val="24"/>
          <w:szCs w:val="24"/>
        </w:rPr>
        <w:t>反</w:t>
      </w:r>
      <w:r>
        <w:rPr>
          <w:rFonts w:asciiTheme="minorEastAsia" w:eastAsiaTheme="minorEastAsia" w:hAnsiTheme="minorEastAsia"/>
          <w:sz w:val="24"/>
          <w:szCs w:val="24"/>
        </w:rPr>
        <w:t>担保：</w:t>
      </w:r>
      <w:proofErr w:type="gramStart"/>
      <w:r w:rsidR="002F73E7">
        <w:rPr>
          <w:rFonts w:asciiTheme="minorEastAsia" w:eastAsiaTheme="minorEastAsia" w:hAnsiTheme="minorEastAsia" w:hint="eastAsia"/>
          <w:color w:val="000000" w:themeColor="text1"/>
          <w:sz w:val="24"/>
          <w:szCs w:val="24"/>
        </w:rPr>
        <w:t>否</w:t>
      </w:r>
      <w:proofErr w:type="gramEnd"/>
    </w:p>
    <w:p w:rsidR="00E64872" w:rsidRDefault="00A92DCB">
      <w:pPr>
        <w:pStyle w:val="af0"/>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对外担保</w:t>
      </w:r>
      <w:r>
        <w:rPr>
          <w:rFonts w:asciiTheme="minorEastAsia" w:eastAsiaTheme="minorEastAsia" w:hAnsiTheme="minorEastAsia"/>
          <w:sz w:val="24"/>
          <w:szCs w:val="24"/>
        </w:rPr>
        <w:t>逾期</w:t>
      </w:r>
      <w:r>
        <w:rPr>
          <w:rFonts w:asciiTheme="minorEastAsia" w:eastAsiaTheme="minorEastAsia" w:hAnsiTheme="minorEastAsia" w:hint="eastAsia"/>
          <w:sz w:val="24"/>
          <w:szCs w:val="24"/>
        </w:rPr>
        <w:t>累计</w:t>
      </w:r>
      <w:r>
        <w:rPr>
          <w:rFonts w:asciiTheme="minorEastAsia" w:eastAsiaTheme="minorEastAsia" w:hAnsiTheme="minorEastAsia"/>
          <w:sz w:val="24"/>
          <w:szCs w:val="24"/>
        </w:rPr>
        <w:t>数量：</w:t>
      </w:r>
      <w:r>
        <w:rPr>
          <w:rFonts w:asciiTheme="minorEastAsia" w:eastAsiaTheme="minorEastAsia" w:hAnsiTheme="minorEastAsia" w:hint="eastAsia"/>
          <w:sz w:val="24"/>
          <w:szCs w:val="24"/>
        </w:rPr>
        <w:t>无对外担保逾期的情形。</w:t>
      </w:r>
    </w:p>
    <w:p w:rsidR="00E64872" w:rsidRDefault="00E64872">
      <w:pPr>
        <w:pStyle w:val="af1"/>
        <w:spacing w:line="360" w:lineRule="auto"/>
        <w:ind w:left="900" w:firstLineChars="0" w:firstLine="0"/>
        <w:rPr>
          <w:rFonts w:asciiTheme="minorEastAsia" w:eastAsiaTheme="minorEastAsia" w:hAnsiTheme="minorEastAsia"/>
          <w:b/>
          <w:sz w:val="24"/>
          <w:szCs w:val="24"/>
        </w:rPr>
      </w:pPr>
    </w:p>
    <w:p w:rsidR="00E64872" w:rsidRDefault="00A92DCB">
      <w:pPr>
        <w:pStyle w:val="af0"/>
        <w:numPr>
          <w:ilvl w:val="0"/>
          <w:numId w:val="2"/>
        </w:num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担保情况概述</w:t>
      </w:r>
    </w:p>
    <w:p w:rsidR="00E64872" w:rsidRPr="00EB4E1F" w:rsidRDefault="00A92DCB">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（一）基本情况</w:t>
      </w:r>
    </w:p>
    <w:p w:rsidR="00ED1EB2" w:rsidRDefault="00ED1EB2">
      <w:pPr>
        <w:pStyle w:val="af0"/>
        <w:spacing w:line="360" w:lineRule="auto"/>
        <w:ind w:firstLineChars="200" w:firstLine="480"/>
        <w:rPr>
          <w:rFonts w:asciiTheme="minorEastAsia" w:eastAsiaTheme="minorEastAsia" w:hAnsiTheme="minorEastAsia"/>
          <w:sz w:val="24"/>
          <w:szCs w:val="24"/>
        </w:rPr>
      </w:pPr>
      <w:r w:rsidRPr="00ED1EB2">
        <w:rPr>
          <w:rFonts w:asciiTheme="minorEastAsia" w:eastAsiaTheme="minorEastAsia" w:hAnsiTheme="minorEastAsia" w:hint="eastAsia"/>
          <w:sz w:val="24"/>
          <w:szCs w:val="24"/>
        </w:rPr>
        <w:t>山东步长制药股份有限公司（以下简称“公司”或“本公司”）于2024年</w:t>
      </w:r>
      <w:r w:rsidR="00E4037D">
        <w:rPr>
          <w:rFonts w:asciiTheme="minorEastAsia" w:eastAsiaTheme="minorEastAsia" w:hAnsiTheme="minorEastAsia"/>
          <w:sz w:val="24"/>
          <w:szCs w:val="24"/>
        </w:rPr>
        <w:t>3</w:t>
      </w:r>
      <w:r w:rsidRPr="00ED1EB2">
        <w:rPr>
          <w:rFonts w:asciiTheme="minorEastAsia" w:eastAsiaTheme="minorEastAsia" w:hAnsiTheme="minorEastAsia" w:hint="eastAsia"/>
          <w:sz w:val="24"/>
          <w:szCs w:val="24"/>
        </w:rPr>
        <w:t>月</w:t>
      </w:r>
      <w:r w:rsidR="00E4037D">
        <w:rPr>
          <w:rFonts w:asciiTheme="minorEastAsia" w:eastAsiaTheme="minorEastAsia" w:hAnsiTheme="minorEastAsia"/>
          <w:sz w:val="24"/>
          <w:szCs w:val="24"/>
        </w:rPr>
        <w:t>12</w:t>
      </w:r>
      <w:r w:rsidRPr="00ED1EB2">
        <w:rPr>
          <w:rFonts w:asciiTheme="minorEastAsia" w:eastAsiaTheme="minorEastAsia" w:hAnsiTheme="minorEastAsia" w:hint="eastAsia"/>
          <w:sz w:val="24"/>
          <w:szCs w:val="24"/>
        </w:rPr>
        <w:t>日与</w:t>
      </w:r>
      <w:r w:rsidR="00E4037D" w:rsidRPr="00E4037D">
        <w:rPr>
          <w:rFonts w:asciiTheme="minorEastAsia" w:eastAsiaTheme="minorEastAsia" w:hAnsiTheme="minorEastAsia" w:hint="eastAsia"/>
          <w:sz w:val="24"/>
          <w:szCs w:val="24"/>
        </w:rPr>
        <w:t>中国工商银行股份有限公司咸阳人民中路支行</w:t>
      </w:r>
      <w:r w:rsidRPr="00ED1EB2">
        <w:rPr>
          <w:rFonts w:asciiTheme="minorEastAsia" w:eastAsiaTheme="minorEastAsia" w:hAnsiTheme="minorEastAsia" w:hint="eastAsia"/>
          <w:sz w:val="24"/>
          <w:szCs w:val="24"/>
        </w:rPr>
        <w:t>（以下简称“</w:t>
      </w:r>
      <w:r w:rsidR="00E4037D">
        <w:rPr>
          <w:rFonts w:asciiTheme="minorEastAsia" w:eastAsiaTheme="minorEastAsia" w:hAnsiTheme="minorEastAsia" w:hint="eastAsia"/>
          <w:sz w:val="24"/>
          <w:szCs w:val="24"/>
        </w:rPr>
        <w:t>工商</w:t>
      </w:r>
      <w:r w:rsidRPr="00ED1EB2">
        <w:rPr>
          <w:rFonts w:asciiTheme="minorEastAsia" w:eastAsiaTheme="minorEastAsia" w:hAnsiTheme="minorEastAsia" w:hint="eastAsia"/>
          <w:sz w:val="24"/>
          <w:szCs w:val="24"/>
        </w:rPr>
        <w:t>银行</w:t>
      </w:r>
      <w:r w:rsidR="00E4037D">
        <w:rPr>
          <w:rFonts w:asciiTheme="minorEastAsia" w:eastAsiaTheme="minorEastAsia" w:hAnsiTheme="minorEastAsia" w:hint="eastAsia"/>
          <w:sz w:val="24"/>
          <w:szCs w:val="24"/>
        </w:rPr>
        <w:t>咸阳人民中路支</w:t>
      </w:r>
      <w:r w:rsidRPr="00ED1EB2">
        <w:rPr>
          <w:rFonts w:asciiTheme="minorEastAsia" w:eastAsiaTheme="minorEastAsia" w:hAnsiTheme="minorEastAsia" w:hint="eastAsia"/>
          <w:sz w:val="24"/>
          <w:szCs w:val="24"/>
        </w:rPr>
        <w:t>行”）签订《</w:t>
      </w:r>
      <w:r w:rsidR="00395378">
        <w:rPr>
          <w:rFonts w:asciiTheme="minorEastAsia" w:eastAsiaTheme="minorEastAsia" w:hAnsiTheme="minorEastAsia" w:hint="eastAsia"/>
          <w:sz w:val="24"/>
          <w:szCs w:val="24"/>
        </w:rPr>
        <w:t>最高额</w:t>
      </w:r>
      <w:r w:rsidRPr="00ED1EB2">
        <w:rPr>
          <w:rFonts w:asciiTheme="minorEastAsia" w:eastAsiaTheme="minorEastAsia" w:hAnsiTheme="minorEastAsia" w:hint="eastAsia"/>
          <w:sz w:val="24"/>
          <w:szCs w:val="24"/>
        </w:rPr>
        <w:t>保证合同》，为</w:t>
      </w:r>
      <w:r w:rsidR="00395378">
        <w:rPr>
          <w:rFonts w:asciiTheme="minorEastAsia" w:eastAsiaTheme="minorEastAsia" w:hAnsiTheme="minorEastAsia" w:hint="eastAsia"/>
          <w:sz w:val="24"/>
          <w:szCs w:val="24"/>
        </w:rPr>
        <w:t>公司</w:t>
      </w:r>
      <w:r w:rsidRPr="00ED1EB2">
        <w:rPr>
          <w:rFonts w:asciiTheme="minorEastAsia" w:eastAsiaTheme="minorEastAsia" w:hAnsiTheme="minorEastAsia" w:hint="eastAsia"/>
          <w:sz w:val="24"/>
          <w:szCs w:val="24"/>
        </w:rPr>
        <w:t>全资子公司陕西步长制药有限公司（以下简称“陕西步长”）</w:t>
      </w:r>
      <w:r w:rsidR="008373F8">
        <w:rPr>
          <w:rFonts w:asciiTheme="minorEastAsia" w:eastAsiaTheme="minorEastAsia" w:hAnsiTheme="minorEastAsia" w:hint="eastAsia"/>
          <w:sz w:val="24"/>
          <w:szCs w:val="24"/>
        </w:rPr>
        <w:t>在</w:t>
      </w:r>
      <w:r w:rsidR="00E4037D">
        <w:rPr>
          <w:rFonts w:asciiTheme="minorEastAsia" w:eastAsiaTheme="minorEastAsia" w:hAnsiTheme="minorEastAsia" w:hint="eastAsia"/>
          <w:sz w:val="24"/>
          <w:szCs w:val="24"/>
        </w:rPr>
        <w:t>工商</w:t>
      </w:r>
      <w:r w:rsidR="00E4037D" w:rsidRPr="00ED1EB2">
        <w:rPr>
          <w:rFonts w:asciiTheme="minorEastAsia" w:eastAsiaTheme="minorEastAsia" w:hAnsiTheme="minorEastAsia" w:hint="eastAsia"/>
          <w:sz w:val="24"/>
          <w:szCs w:val="24"/>
        </w:rPr>
        <w:t>银行</w:t>
      </w:r>
      <w:r w:rsidR="00E4037D">
        <w:rPr>
          <w:rFonts w:asciiTheme="minorEastAsia" w:eastAsiaTheme="minorEastAsia" w:hAnsiTheme="minorEastAsia" w:hint="eastAsia"/>
          <w:sz w:val="24"/>
          <w:szCs w:val="24"/>
        </w:rPr>
        <w:t>咸阳人民中路支</w:t>
      </w:r>
      <w:r w:rsidR="00E4037D" w:rsidRPr="00ED1EB2">
        <w:rPr>
          <w:rFonts w:asciiTheme="minorEastAsia" w:eastAsiaTheme="minorEastAsia" w:hAnsiTheme="minorEastAsia" w:hint="eastAsia"/>
          <w:sz w:val="24"/>
          <w:szCs w:val="24"/>
        </w:rPr>
        <w:t>行</w:t>
      </w:r>
      <w:r w:rsidR="008373F8">
        <w:rPr>
          <w:rFonts w:asciiTheme="minorEastAsia" w:eastAsiaTheme="minorEastAsia" w:hAnsiTheme="minorEastAsia" w:hint="eastAsia"/>
          <w:sz w:val="24"/>
          <w:szCs w:val="24"/>
        </w:rPr>
        <w:t>办理的供应链专项授信业务</w:t>
      </w:r>
      <w:r w:rsidRPr="00ED1EB2">
        <w:rPr>
          <w:rFonts w:asciiTheme="minorEastAsia" w:eastAsiaTheme="minorEastAsia" w:hAnsiTheme="minorEastAsia" w:hint="eastAsia"/>
          <w:sz w:val="24"/>
          <w:szCs w:val="24"/>
        </w:rPr>
        <w:t>提供</w:t>
      </w:r>
      <w:r w:rsidR="00E4037D">
        <w:rPr>
          <w:rFonts w:asciiTheme="minorEastAsia" w:eastAsiaTheme="minorEastAsia" w:hAnsiTheme="minorEastAsia"/>
          <w:bCs/>
          <w:sz w:val="24"/>
          <w:szCs w:val="24"/>
        </w:rPr>
        <w:t>18</w:t>
      </w:r>
      <w:r w:rsidR="00E4037D" w:rsidRPr="00ED1EB2">
        <w:rPr>
          <w:rFonts w:asciiTheme="minorEastAsia" w:eastAsiaTheme="minorEastAsia" w:hAnsiTheme="minorEastAsia"/>
          <w:bCs/>
          <w:sz w:val="24"/>
          <w:szCs w:val="24"/>
        </w:rPr>
        <w:t>,000</w:t>
      </w:r>
      <w:r w:rsidRPr="00ED1EB2">
        <w:rPr>
          <w:rFonts w:asciiTheme="minorEastAsia" w:eastAsiaTheme="minorEastAsia" w:hAnsiTheme="minorEastAsia" w:hint="eastAsia"/>
          <w:sz w:val="24"/>
          <w:szCs w:val="24"/>
        </w:rPr>
        <w:t>万元连带责任保证。</w:t>
      </w:r>
    </w:p>
    <w:p w:rsidR="00E64872" w:rsidRPr="00EB4E1F" w:rsidRDefault="00A92DCB">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（二）履行的内部审议程序</w:t>
      </w:r>
    </w:p>
    <w:p w:rsidR="002F73E7" w:rsidRPr="002F73E7" w:rsidRDefault="00A92DCB" w:rsidP="00EB4E1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公司于</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年4月27日召开</w:t>
      </w:r>
      <w:r w:rsidR="002F73E7" w:rsidRPr="002F73E7">
        <w:rPr>
          <w:rFonts w:asciiTheme="minorEastAsia" w:eastAsiaTheme="minorEastAsia" w:hAnsiTheme="minorEastAsia" w:hint="eastAsia"/>
          <w:sz w:val="24"/>
          <w:szCs w:val="24"/>
        </w:rPr>
        <w:t>第四届董事会第三十五次（年度）会议</w:t>
      </w:r>
      <w:r>
        <w:rPr>
          <w:rFonts w:asciiTheme="minorEastAsia" w:eastAsiaTheme="minorEastAsia" w:hAnsiTheme="minorEastAsia" w:hint="eastAsia"/>
          <w:sz w:val="24"/>
          <w:szCs w:val="24"/>
        </w:rPr>
        <w:t>，于</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年6月28日召开</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2</w:t>
      </w:r>
      <w:r>
        <w:rPr>
          <w:rFonts w:asciiTheme="minorEastAsia" w:eastAsiaTheme="minorEastAsia" w:hAnsiTheme="minorEastAsia" w:hint="eastAsia"/>
          <w:sz w:val="24"/>
          <w:szCs w:val="24"/>
        </w:rPr>
        <w:t>年年度股东大会，审议通过了《</w:t>
      </w:r>
      <w:r w:rsidR="002F73E7" w:rsidRPr="002F73E7">
        <w:rPr>
          <w:rFonts w:asciiTheme="minorEastAsia" w:eastAsiaTheme="minorEastAsia" w:hAnsiTheme="minorEastAsia" w:hint="eastAsia"/>
          <w:sz w:val="24"/>
          <w:szCs w:val="24"/>
        </w:rPr>
        <w:t>关于审议公司及控股子公司</w:t>
      </w:r>
      <w:r w:rsidR="002F73E7">
        <w:rPr>
          <w:rFonts w:asciiTheme="minorEastAsia" w:eastAsiaTheme="minorEastAsia" w:hAnsiTheme="minorEastAsia" w:hint="eastAsia"/>
          <w:sz w:val="24"/>
          <w:szCs w:val="24"/>
        </w:rPr>
        <w:t>2023</w:t>
      </w:r>
      <w:r w:rsidR="002F73E7" w:rsidRPr="002F73E7">
        <w:rPr>
          <w:rFonts w:asciiTheme="minorEastAsia" w:eastAsiaTheme="minorEastAsia" w:hAnsiTheme="minorEastAsia" w:hint="eastAsia"/>
          <w:sz w:val="24"/>
          <w:szCs w:val="24"/>
        </w:rPr>
        <w:t>年度预计新增融资额度及担保额度的议案</w:t>
      </w:r>
      <w:r>
        <w:rPr>
          <w:rFonts w:asciiTheme="minorEastAsia" w:eastAsiaTheme="minorEastAsia" w:hAnsiTheme="minorEastAsia" w:hint="eastAsia"/>
          <w:sz w:val="24"/>
          <w:szCs w:val="24"/>
        </w:rPr>
        <w:t>》，同意</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年度</w:t>
      </w:r>
      <w:r w:rsidR="002F73E7">
        <w:rPr>
          <w:rFonts w:asciiTheme="minorEastAsia" w:eastAsiaTheme="minorEastAsia" w:hAnsiTheme="minorEastAsia" w:hint="eastAsia"/>
          <w:sz w:val="24"/>
          <w:szCs w:val="24"/>
        </w:rPr>
        <w:t>公司</w:t>
      </w:r>
      <w:r w:rsidR="002F73E7" w:rsidRPr="002F73E7">
        <w:rPr>
          <w:rFonts w:asciiTheme="minorEastAsia" w:eastAsiaTheme="minorEastAsia" w:hAnsiTheme="minorEastAsia" w:hint="eastAsia"/>
          <w:sz w:val="24"/>
          <w:szCs w:val="24"/>
        </w:rPr>
        <w:lastRenderedPageBreak/>
        <w:t>及下属控股子公司拟向金融机构申请授信总额不超过人民币</w:t>
      </w:r>
      <w:r w:rsidR="002F73E7">
        <w:rPr>
          <w:rFonts w:asciiTheme="minorEastAsia" w:eastAsiaTheme="minorEastAsia" w:hAnsiTheme="minorEastAsia" w:hint="eastAsia"/>
          <w:sz w:val="24"/>
          <w:szCs w:val="24"/>
        </w:rPr>
        <w:t>86.60</w:t>
      </w:r>
      <w:r w:rsidR="002F73E7" w:rsidRPr="002F73E7">
        <w:rPr>
          <w:rFonts w:asciiTheme="minorEastAsia" w:eastAsiaTheme="minorEastAsia" w:hAnsiTheme="minorEastAsia" w:hint="eastAsia"/>
          <w:sz w:val="24"/>
          <w:szCs w:val="24"/>
        </w:rPr>
        <w:t>亿元的综合融资额度</w:t>
      </w:r>
      <w:r w:rsidR="002F73E7">
        <w:rPr>
          <w:rFonts w:asciiTheme="minorEastAsia" w:eastAsiaTheme="minorEastAsia" w:hAnsiTheme="minorEastAsia" w:hint="eastAsia"/>
          <w:sz w:val="24"/>
          <w:szCs w:val="24"/>
        </w:rPr>
        <w:t>。</w:t>
      </w:r>
      <w:r w:rsidR="002F73E7" w:rsidRPr="002F73E7">
        <w:rPr>
          <w:rFonts w:asciiTheme="minorEastAsia" w:eastAsiaTheme="minorEastAsia" w:hAnsiTheme="minorEastAsia" w:hint="eastAsia"/>
          <w:sz w:val="24"/>
          <w:szCs w:val="24"/>
        </w:rPr>
        <w:t>上述融资事项如需采用保证或抵押等担保方式，担保额度不超过</w:t>
      </w:r>
      <w:r w:rsidR="002F73E7">
        <w:rPr>
          <w:rFonts w:asciiTheme="minorEastAsia" w:eastAsiaTheme="minorEastAsia" w:hAnsiTheme="minorEastAsia" w:hint="eastAsia"/>
          <w:sz w:val="24"/>
          <w:szCs w:val="24"/>
        </w:rPr>
        <w:t>86.60</w:t>
      </w:r>
      <w:r w:rsidR="002F73E7" w:rsidRPr="002F73E7">
        <w:rPr>
          <w:rFonts w:asciiTheme="minorEastAsia" w:eastAsiaTheme="minorEastAsia" w:hAnsiTheme="minorEastAsia" w:hint="eastAsia"/>
          <w:sz w:val="24"/>
          <w:szCs w:val="24"/>
        </w:rPr>
        <w:t>亿元人民币，</w:t>
      </w:r>
      <w:r w:rsidR="00EB4E1F">
        <w:rPr>
          <w:rFonts w:asciiTheme="minorEastAsia" w:eastAsiaTheme="minorEastAsia" w:hAnsiTheme="minorEastAsia" w:hint="eastAsia"/>
          <w:sz w:val="24"/>
          <w:szCs w:val="24"/>
        </w:rPr>
        <w:t>其中，对本公司</w:t>
      </w:r>
      <w:r w:rsidR="00EB4E1F" w:rsidRPr="00EB4E1F">
        <w:rPr>
          <w:rFonts w:asciiTheme="minorEastAsia" w:eastAsiaTheme="minorEastAsia" w:hAnsiTheme="minorEastAsia" w:hint="eastAsia"/>
          <w:sz w:val="24"/>
          <w:szCs w:val="24"/>
        </w:rPr>
        <w:t>新增担保额度为</w:t>
      </w:r>
      <w:r w:rsidR="00EB4E1F" w:rsidRPr="00EB4E1F">
        <w:rPr>
          <w:rFonts w:asciiTheme="minorEastAsia" w:eastAsiaTheme="minorEastAsia" w:hAnsiTheme="minorEastAsia"/>
          <w:sz w:val="24"/>
          <w:szCs w:val="24"/>
        </w:rPr>
        <w:t>280,000.00</w:t>
      </w:r>
      <w:r w:rsidR="00EB4E1F">
        <w:rPr>
          <w:rFonts w:asciiTheme="minorEastAsia" w:eastAsiaTheme="minorEastAsia" w:hAnsiTheme="minorEastAsia" w:hint="eastAsia"/>
          <w:sz w:val="24"/>
          <w:szCs w:val="24"/>
        </w:rPr>
        <w:t>万</w:t>
      </w:r>
      <w:r w:rsidR="00EB4E1F" w:rsidRPr="00EB4E1F">
        <w:rPr>
          <w:rFonts w:asciiTheme="minorEastAsia" w:eastAsiaTheme="minorEastAsia" w:hAnsiTheme="minorEastAsia" w:hint="eastAsia"/>
          <w:sz w:val="24"/>
          <w:szCs w:val="24"/>
        </w:rPr>
        <w:t>元人民币</w:t>
      </w:r>
      <w:r w:rsidR="00EB4E1F">
        <w:rPr>
          <w:rFonts w:asciiTheme="minorEastAsia" w:eastAsiaTheme="minorEastAsia" w:hAnsiTheme="minorEastAsia" w:hint="eastAsia"/>
          <w:sz w:val="24"/>
          <w:szCs w:val="24"/>
        </w:rPr>
        <w:t>，对资产负债率为</w:t>
      </w:r>
      <w:r w:rsidR="00EB4E1F" w:rsidRPr="00EB4E1F">
        <w:rPr>
          <w:rFonts w:asciiTheme="minorEastAsia" w:eastAsiaTheme="minorEastAsia" w:hAnsiTheme="minorEastAsia" w:hint="eastAsia"/>
          <w:sz w:val="24"/>
          <w:szCs w:val="24"/>
        </w:rPr>
        <w:t>70%以上的控股子公司新增担保额度为</w:t>
      </w:r>
      <w:r w:rsidR="00EB4E1F" w:rsidRPr="00EB4E1F">
        <w:rPr>
          <w:rFonts w:asciiTheme="minorEastAsia" w:eastAsiaTheme="minorEastAsia" w:hAnsiTheme="minorEastAsia"/>
          <w:sz w:val="24"/>
          <w:szCs w:val="24"/>
        </w:rPr>
        <w:t>286,000.00</w:t>
      </w:r>
      <w:r w:rsidR="00EB4E1F">
        <w:rPr>
          <w:rFonts w:asciiTheme="minorEastAsia" w:eastAsiaTheme="minorEastAsia" w:hAnsiTheme="minorEastAsia" w:hint="eastAsia"/>
          <w:sz w:val="24"/>
          <w:szCs w:val="24"/>
        </w:rPr>
        <w:t>万</w:t>
      </w:r>
      <w:r w:rsidR="00EB4E1F" w:rsidRPr="00EB4E1F">
        <w:rPr>
          <w:rFonts w:asciiTheme="minorEastAsia" w:eastAsiaTheme="minorEastAsia" w:hAnsiTheme="minorEastAsia" w:hint="eastAsia"/>
          <w:sz w:val="24"/>
          <w:szCs w:val="24"/>
        </w:rPr>
        <w:t>元人民币</w:t>
      </w:r>
      <w:r w:rsidR="00EB4E1F">
        <w:rPr>
          <w:rFonts w:asciiTheme="minorEastAsia" w:eastAsiaTheme="minorEastAsia" w:hAnsiTheme="minorEastAsia" w:hint="eastAsia"/>
          <w:sz w:val="24"/>
          <w:szCs w:val="24"/>
        </w:rPr>
        <w:t>，对资产负债率为</w:t>
      </w:r>
      <w:r w:rsidR="00EB4E1F" w:rsidRPr="00EB4E1F">
        <w:rPr>
          <w:rFonts w:asciiTheme="minorEastAsia" w:eastAsiaTheme="minorEastAsia" w:hAnsiTheme="minorEastAsia" w:hint="eastAsia"/>
          <w:sz w:val="24"/>
          <w:szCs w:val="24"/>
        </w:rPr>
        <w:t>70%</w:t>
      </w:r>
      <w:r w:rsidR="00EB4E1F">
        <w:rPr>
          <w:rFonts w:asciiTheme="minorEastAsia" w:eastAsiaTheme="minorEastAsia" w:hAnsiTheme="minorEastAsia" w:hint="eastAsia"/>
          <w:sz w:val="24"/>
          <w:szCs w:val="24"/>
        </w:rPr>
        <w:t>以下</w:t>
      </w:r>
      <w:r w:rsidR="00EB4E1F" w:rsidRPr="00EB4E1F">
        <w:rPr>
          <w:rFonts w:asciiTheme="minorEastAsia" w:eastAsiaTheme="minorEastAsia" w:hAnsiTheme="minorEastAsia" w:hint="eastAsia"/>
          <w:sz w:val="24"/>
          <w:szCs w:val="24"/>
        </w:rPr>
        <w:t>的控股子公司新增担保额度为</w:t>
      </w:r>
      <w:r w:rsidR="00EB4E1F" w:rsidRPr="00EB4E1F">
        <w:rPr>
          <w:rFonts w:asciiTheme="minorEastAsia" w:eastAsiaTheme="minorEastAsia" w:hAnsiTheme="minorEastAsia"/>
          <w:sz w:val="24"/>
          <w:szCs w:val="24"/>
        </w:rPr>
        <w:t>300,000.00</w:t>
      </w:r>
      <w:r w:rsidR="00EB4E1F">
        <w:rPr>
          <w:rFonts w:asciiTheme="minorEastAsia" w:eastAsiaTheme="minorEastAsia" w:hAnsiTheme="minorEastAsia" w:hint="eastAsia"/>
          <w:sz w:val="24"/>
          <w:szCs w:val="24"/>
        </w:rPr>
        <w:t>万</w:t>
      </w:r>
      <w:r w:rsidR="00EB4E1F" w:rsidRPr="00EB4E1F">
        <w:rPr>
          <w:rFonts w:asciiTheme="minorEastAsia" w:eastAsiaTheme="minorEastAsia" w:hAnsiTheme="minorEastAsia" w:hint="eastAsia"/>
          <w:sz w:val="24"/>
          <w:szCs w:val="24"/>
        </w:rPr>
        <w:t>元人民币</w:t>
      </w:r>
      <w:r w:rsidR="00EB4E1F">
        <w:rPr>
          <w:rFonts w:asciiTheme="minorEastAsia" w:eastAsiaTheme="minorEastAsia" w:hAnsiTheme="minorEastAsia" w:hint="eastAsia"/>
          <w:sz w:val="24"/>
          <w:szCs w:val="24"/>
        </w:rPr>
        <w:t>。</w:t>
      </w:r>
      <w:r w:rsidR="002F73E7" w:rsidRPr="002F73E7">
        <w:rPr>
          <w:rFonts w:asciiTheme="minorEastAsia" w:eastAsiaTheme="minorEastAsia" w:hAnsiTheme="minorEastAsia" w:hint="eastAsia"/>
          <w:sz w:val="24"/>
          <w:szCs w:val="24"/>
        </w:rPr>
        <w:t>实际担保的金额在总担保额度内，以金融机构与公司及控股子公司实际发生的担保金额为准。在年度预计额度内，各下属控股子公司的担保额度可按照实际情况内部调剂使用，调剂发生时资产负债率为70%以上的子公司仅能从股东大会审议时资产负债率为70%以上的子公司处获得担保额度。</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具体内容详见公司于</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年4月28日和</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年6月29日披露于上海证券交易所网站（www.sse.com.cn）的《关于公司及控股子公司</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年度预计新增融资额度及担保额度的公告》（公告编号：</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sidR="002F73E7">
        <w:rPr>
          <w:rFonts w:asciiTheme="minorEastAsia" w:eastAsiaTheme="minorEastAsia" w:hAnsiTheme="minorEastAsia" w:hint="eastAsia"/>
          <w:sz w:val="24"/>
          <w:szCs w:val="24"/>
        </w:rPr>
        <w:t>-0</w:t>
      </w:r>
      <w:r w:rsidR="002F73E7">
        <w:rPr>
          <w:rFonts w:asciiTheme="minorEastAsia" w:eastAsiaTheme="minorEastAsia" w:hAnsiTheme="minorEastAsia"/>
          <w:sz w:val="24"/>
          <w:szCs w:val="24"/>
        </w:rPr>
        <w:t>68</w:t>
      </w:r>
      <w:r>
        <w:rPr>
          <w:rFonts w:asciiTheme="minorEastAsia" w:eastAsiaTheme="minorEastAsia" w:hAnsiTheme="minorEastAsia" w:hint="eastAsia"/>
          <w:sz w:val="24"/>
          <w:szCs w:val="24"/>
        </w:rPr>
        <w:t>）、《第四届董事会第</w:t>
      </w:r>
      <w:r w:rsidR="002F73E7">
        <w:rPr>
          <w:rFonts w:asciiTheme="minorEastAsia" w:eastAsiaTheme="minorEastAsia" w:hAnsiTheme="minorEastAsia" w:hint="eastAsia"/>
          <w:sz w:val="24"/>
          <w:szCs w:val="24"/>
        </w:rPr>
        <w:t>三十五</w:t>
      </w:r>
      <w:r>
        <w:rPr>
          <w:rFonts w:asciiTheme="minorEastAsia" w:eastAsiaTheme="minorEastAsia" w:hAnsiTheme="minorEastAsia" w:hint="eastAsia"/>
          <w:sz w:val="24"/>
          <w:szCs w:val="24"/>
        </w:rPr>
        <w:t>次（年度）会议决议公告》（公告编号：</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sidR="002F73E7">
        <w:rPr>
          <w:rFonts w:asciiTheme="minorEastAsia" w:eastAsiaTheme="minorEastAsia" w:hAnsiTheme="minorEastAsia" w:hint="eastAsia"/>
          <w:sz w:val="24"/>
          <w:szCs w:val="24"/>
        </w:rPr>
        <w:t>-0</w:t>
      </w:r>
      <w:r w:rsidR="002F73E7">
        <w:rPr>
          <w:rFonts w:asciiTheme="minorEastAsia" w:eastAsiaTheme="minorEastAsia" w:hAnsiTheme="minorEastAsia"/>
          <w:sz w:val="24"/>
          <w:szCs w:val="24"/>
        </w:rPr>
        <w:t>61</w:t>
      </w:r>
      <w:r>
        <w:rPr>
          <w:rFonts w:asciiTheme="minorEastAsia" w:eastAsiaTheme="minorEastAsia" w:hAnsiTheme="minorEastAsia" w:hint="eastAsia"/>
          <w:sz w:val="24"/>
          <w:szCs w:val="24"/>
        </w:rPr>
        <w:t>）、《</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2</w:t>
      </w:r>
      <w:r>
        <w:rPr>
          <w:rFonts w:asciiTheme="minorEastAsia" w:eastAsiaTheme="minorEastAsia" w:hAnsiTheme="minorEastAsia" w:hint="eastAsia"/>
          <w:sz w:val="24"/>
          <w:szCs w:val="24"/>
        </w:rPr>
        <w:t>年年度股东大会决议公告》（公告编号：</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sidR="002F73E7">
        <w:rPr>
          <w:rFonts w:asciiTheme="minorEastAsia" w:eastAsiaTheme="minorEastAsia" w:hAnsiTheme="minorEastAsia" w:hint="eastAsia"/>
          <w:sz w:val="24"/>
          <w:szCs w:val="24"/>
        </w:rPr>
        <w:t>-1</w:t>
      </w:r>
      <w:r w:rsidR="002F73E7">
        <w:rPr>
          <w:rFonts w:asciiTheme="minorEastAsia" w:eastAsiaTheme="minorEastAsia" w:hAnsiTheme="minorEastAsia"/>
          <w:sz w:val="24"/>
          <w:szCs w:val="24"/>
        </w:rPr>
        <w:t>13</w:t>
      </w:r>
      <w:r>
        <w:rPr>
          <w:rFonts w:asciiTheme="minorEastAsia" w:eastAsiaTheme="minorEastAsia" w:hAnsiTheme="minorEastAsia" w:hint="eastAsia"/>
          <w:sz w:val="24"/>
          <w:szCs w:val="24"/>
        </w:rPr>
        <w:t>）。</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本次担保事项在前述授权额度范围内。</w:t>
      </w:r>
    </w:p>
    <w:p w:rsidR="00E64872" w:rsidRPr="002F73E7" w:rsidRDefault="00A92DCB">
      <w:pPr>
        <w:pStyle w:val="af0"/>
        <w:numPr>
          <w:ilvl w:val="0"/>
          <w:numId w:val="2"/>
        </w:numPr>
        <w:spacing w:line="360" w:lineRule="auto"/>
        <w:rPr>
          <w:rFonts w:asciiTheme="minorEastAsia" w:eastAsiaTheme="minorEastAsia" w:hAnsiTheme="minorEastAsia"/>
          <w:bCs/>
          <w:sz w:val="24"/>
          <w:szCs w:val="24"/>
        </w:rPr>
      </w:pPr>
      <w:r>
        <w:rPr>
          <w:rFonts w:asciiTheme="minorEastAsia" w:eastAsiaTheme="minorEastAsia" w:hAnsiTheme="minorEastAsia" w:hint="eastAsia"/>
          <w:b/>
          <w:sz w:val="24"/>
          <w:szCs w:val="24"/>
        </w:rPr>
        <w:t>被担保</w:t>
      </w:r>
      <w:r>
        <w:rPr>
          <w:rFonts w:asciiTheme="minorEastAsia" w:eastAsiaTheme="minorEastAsia" w:hAnsiTheme="minorEastAsia"/>
          <w:b/>
          <w:sz w:val="24"/>
          <w:szCs w:val="24"/>
        </w:rPr>
        <w:t>人基本情况</w:t>
      </w:r>
    </w:p>
    <w:p w:rsidR="002F73E7" w:rsidRPr="00EB4E1F" w:rsidRDefault="002F73E7" w:rsidP="002F73E7">
      <w:pPr>
        <w:pStyle w:val="af0"/>
        <w:spacing w:line="360" w:lineRule="auto"/>
        <w:ind w:left="482"/>
        <w:rPr>
          <w:rFonts w:asciiTheme="minorEastAsia" w:eastAsiaTheme="minorEastAsia" w:hAnsiTheme="minorEastAsia"/>
          <w:bCs/>
          <w:sz w:val="24"/>
          <w:szCs w:val="24"/>
        </w:rPr>
      </w:pPr>
      <w:r w:rsidRPr="00EB4E1F">
        <w:rPr>
          <w:rFonts w:asciiTheme="minorEastAsia" w:eastAsiaTheme="minorEastAsia" w:hAnsiTheme="minorEastAsia" w:hint="eastAsia"/>
          <w:sz w:val="24"/>
          <w:szCs w:val="24"/>
        </w:rPr>
        <w:t>（一）基本信息</w:t>
      </w:r>
    </w:p>
    <w:p w:rsidR="00651EBC" w:rsidRDefault="00651EBC">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名称：</w:t>
      </w:r>
      <w:r w:rsidR="00BE3362" w:rsidRPr="00BE3362">
        <w:rPr>
          <w:rFonts w:asciiTheme="minorEastAsia" w:eastAsiaTheme="minorEastAsia" w:hAnsiTheme="minorEastAsia" w:hint="eastAsia"/>
          <w:sz w:val="24"/>
          <w:szCs w:val="24"/>
        </w:rPr>
        <w:t>陕西步长制药有限公司</w:t>
      </w:r>
    </w:p>
    <w:p w:rsidR="00651EBC"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成立时间：</w:t>
      </w:r>
      <w:r w:rsidR="00BE3362" w:rsidRPr="00BE3362">
        <w:rPr>
          <w:rFonts w:asciiTheme="minorEastAsia" w:eastAsiaTheme="minorEastAsia" w:hAnsiTheme="minorEastAsia" w:hint="eastAsia"/>
          <w:sz w:val="24"/>
          <w:szCs w:val="24"/>
        </w:rPr>
        <w:t>2009年11月19日</w:t>
      </w:r>
    </w:p>
    <w:p w:rsidR="00CD0464"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法定代表人：</w:t>
      </w:r>
      <w:r w:rsidR="00BB43D9">
        <w:rPr>
          <w:rFonts w:asciiTheme="minorEastAsia" w:eastAsiaTheme="minorEastAsia" w:hAnsiTheme="minorEastAsia" w:hint="eastAsia"/>
          <w:sz w:val="24"/>
          <w:szCs w:val="24"/>
        </w:rPr>
        <w:t>赵超</w:t>
      </w:r>
    </w:p>
    <w:p w:rsidR="002D21E8"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注册资本：</w:t>
      </w:r>
      <w:r w:rsidR="00BB43D9" w:rsidRPr="00BB43D9">
        <w:rPr>
          <w:rFonts w:asciiTheme="minorEastAsia" w:eastAsiaTheme="minorEastAsia" w:hAnsiTheme="minorEastAsia" w:hint="eastAsia"/>
          <w:sz w:val="24"/>
          <w:szCs w:val="24"/>
        </w:rPr>
        <w:t>贰仟伍佰万元人民币</w:t>
      </w:r>
    </w:p>
    <w:p w:rsidR="00BB43D9"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住所：</w:t>
      </w:r>
      <w:r w:rsidR="00BB43D9" w:rsidRPr="00BB43D9">
        <w:rPr>
          <w:rFonts w:asciiTheme="minorEastAsia" w:eastAsiaTheme="minorEastAsia" w:hAnsiTheme="minorEastAsia" w:hint="eastAsia"/>
          <w:sz w:val="24"/>
          <w:szCs w:val="24"/>
        </w:rPr>
        <w:t>陕西省咸阳市秦都区步长路16号</w:t>
      </w:r>
    </w:p>
    <w:p w:rsidR="002D21E8"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经营范围</w:t>
      </w:r>
      <w:r w:rsidR="002D21E8">
        <w:rPr>
          <w:rFonts w:asciiTheme="minorEastAsia" w:eastAsiaTheme="minorEastAsia" w:hAnsiTheme="minorEastAsia" w:hint="eastAsia"/>
          <w:sz w:val="24"/>
          <w:szCs w:val="24"/>
        </w:rPr>
        <w:t>：</w:t>
      </w:r>
      <w:r w:rsidR="00BB43D9" w:rsidRPr="00BB43D9">
        <w:rPr>
          <w:rFonts w:asciiTheme="minorEastAsia" w:eastAsiaTheme="minorEastAsia" w:hAnsiTheme="minorEastAsia" w:hint="eastAsia"/>
          <w:sz w:val="24"/>
          <w:szCs w:val="24"/>
        </w:rPr>
        <w:t>一般项目：技术服务、技术开发、技术咨询、技术交流、技术转让、技术推广；中草药种植（除依法须经批准的项目外，凭营业执照依法自主开展经营活动）。许可项目：药品生产；药品批发；药品委托生产（依法须经批准的项目，经相关部门批准后方可开展经营活动，具体经营项目以审批结果为准）。</w:t>
      </w:r>
    </w:p>
    <w:p w:rsidR="002F73E7" w:rsidRPr="00EB4E1F" w:rsidRDefault="002F73E7">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（二）股权结构及关联关系说明</w:t>
      </w:r>
    </w:p>
    <w:p w:rsidR="00BB43D9" w:rsidRDefault="00BB43D9" w:rsidP="00FD553D">
      <w:pPr>
        <w:pStyle w:val="af0"/>
        <w:spacing w:line="360" w:lineRule="auto"/>
        <w:ind w:firstLineChars="200" w:firstLine="480"/>
        <w:rPr>
          <w:rFonts w:asciiTheme="minorEastAsia" w:eastAsiaTheme="minorEastAsia" w:hAnsiTheme="minorEastAsia"/>
          <w:sz w:val="24"/>
          <w:szCs w:val="24"/>
        </w:rPr>
      </w:pPr>
      <w:r w:rsidRPr="00BB43D9">
        <w:rPr>
          <w:rFonts w:asciiTheme="minorEastAsia" w:eastAsiaTheme="minorEastAsia" w:hAnsiTheme="minorEastAsia" w:hint="eastAsia"/>
          <w:sz w:val="24"/>
          <w:szCs w:val="24"/>
        </w:rPr>
        <w:t>陕西步长为公司全资子公司。</w:t>
      </w:r>
    </w:p>
    <w:p w:rsidR="002F73E7" w:rsidRPr="00EB4E1F" w:rsidRDefault="002F73E7" w:rsidP="00FD553D">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（三）主要财务数据</w:t>
      </w:r>
    </w:p>
    <w:p w:rsidR="00A44606" w:rsidRDefault="00A44606" w:rsidP="00A44606">
      <w:pPr>
        <w:pStyle w:val="af0"/>
        <w:spacing w:line="360" w:lineRule="auto"/>
        <w:ind w:firstLineChars="200" w:firstLine="480"/>
        <w:rPr>
          <w:rFonts w:asciiTheme="minorEastAsia" w:eastAsiaTheme="minorEastAsia" w:hAnsiTheme="minorEastAsia"/>
          <w:sz w:val="24"/>
          <w:szCs w:val="24"/>
        </w:rPr>
      </w:pPr>
      <w:r w:rsidRPr="009144CD">
        <w:rPr>
          <w:rFonts w:asciiTheme="minorEastAsia" w:eastAsiaTheme="minorEastAsia" w:hAnsiTheme="minorEastAsia" w:hint="eastAsia"/>
          <w:sz w:val="24"/>
          <w:szCs w:val="24"/>
        </w:rPr>
        <w:t>截至2022年12月31日，资产总额371,105.37万元，负债总额</w:t>
      </w:r>
      <w:r>
        <w:rPr>
          <w:rFonts w:asciiTheme="minorEastAsia" w:eastAsiaTheme="minorEastAsia" w:hAnsiTheme="minorEastAsia" w:hint="eastAsia"/>
          <w:sz w:val="24"/>
          <w:szCs w:val="24"/>
        </w:rPr>
        <w:t>239,539.82</w:t>
      </w:r>
      <w:r w:rsidRPr="009144CD">
        <w:rPr>
          <w:rFonts w:asciiTheme="minorEastAsia" w:eastAsiaTheme="minorEastAsia" w:hAnsiTheme="minorEastAsia" w:hint="eastAsia"/>
          <w:sz w:val="24"/>
          <w:szCs w:val="24"/>
        </w:rPr>
        <w:lastRenderedPageBreak/>
        <w:t>万元，净资产131,565.55万元，2022年度实现营业收入346,784.06万元，净利润61,011.29万元，资产负债率为64.55%。（上述数据经审计）</w:t>
      </w:r>
    </w:p>
    <w:p w:rsidR="00A44606" w:rsidRDefault="00A44606" w:rsidP="00A44606">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截至202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9</w:t>
      </w:r>
      <w:r>
        <w:rPr>
          <w:rFonts w:asciiTheme="minorEastAsia" w:eastAsiaTheme="minorEastAsia" w:hAnsiTheme="minorEastAsia" w:hint="eastAsia"/>
          <w:sz w:val="24"/>
          <w:szCs w:val="24"/>
        </w:rPr>
        <w:t>月30日，资产总额</w:t>
      </w:r>
      <w:r w:rsidRPr="009144CD">
        <w:rPr>
          <w:rFonts w:asciiTheme="minorEastAsia" w:eastAsiaTheme="minorEastAsia" w:hAnsiTheme="minorEastAsia"/>
          <w:sz w:val="24"/>
          <w:szCs w:val="24"/>
        </w:rPr>
        <w:t>336,330.27</w:t>
      </w:r>
      <w:r w:rsidRPr="009144CD">
        <w:rPr>
          <w:rFonts w:asciiTheme="minorEastAsia" w:eastAsiaTheme="minorEastAsia" w:hAnsiTheme="minorEastAsia" w:hint="eastAsia"/>
          <w:sz w:val="24"/>
          <w:szCs w:val="24"/>
        </w:rPr>
        <w:t>万</w:t>
      </w:r>
      <w:r>
        <w:rPr>
          <w:rFonts w:asciiTheme="minorEastAsia" w:eastAsiaTheme="minorEastAsia" w:hAnsiTheme="minorEastAsia" w:hint="eastAsia"/>
          <w:sz w:val="24"/>
          <w:szCs w:val="24"/>
        </w:rPr>
        <w:t>元，负债总额</w:t>
      </w:r>
      <w:r w:rsidRPr="009144CD">
        <w:rPr>
          <w:rFonts w:asciiTheme="minorEastAsia" w:eastAsiaTheme="minorEastAsia" w:hAnsiTheme="minorEastAsia"/>
          <w:sz w:val="24"/>
          <w:szCs w:val="24"/>
        </w:rPr>
        <w:t>225,781.47</w:t>
      </w:r>
      <w:r w:rsidRPr="009144CD">
        <w:rPr>
          <w:rFonts w:asciiTheme="minorEastAsia" w:eastAsiaTheme="minorEastAsia" w:hAnsiTheme="minorEastAsia" w:hint="eastAsia"/>
          <w:sz w:val="24"/>
          <w:szCs w:val="24"/>
        </w:rPr>
        <w:t>万</w:t>
      </w:r>
      <w:r>
        <w:rPr>
          <w:rFonts w:asciiTheme="minorEastAsia" w:eastAsiaTheme="minorEastAsia" w:hAnsiTheme="minorEastAsia" w:hint="eastAsia"/>
          <w:sz w:val="24"/>
          <w:szCs w:val="24"/>
        </w:rPr>
        <w:t>元，净资产</w:t>
      </w:r>
      <w:r w:rsidRPr="009144CD">
        <w:rPr>
          <w:rFonts w:asciiTheme="minorEastAsia" w:eastAsiaTheme="minorEastAsia" w:hAnsiTheme="minorEastAsia"/>
          <w:sz w:val="24"/>
          <w:szCs w:val="24"/>
        </w:rPr>
        <w:t>110,548.80</w:t>
      </w:r>
      <w:r w:rsidRPr="009144CD">
        <w:rPr>
          <w:rFonts w:asciiTheme="minorEastAsia" w:eastAsiaTheme="minorEastAsia" w:hAnsiTheme="minorEastAsia" w:hint="eastAsia"/>
          <w:sz w:val="24"/>
          <w:szCs w:val="24"/>
        </w:rPr>
        <w:t>万</w:t>
      </w:r>
      <w:r>
        <w:rPr>
          <w:rFonts w:asciiTheme="minorEastAsia" w:eastAsiaTheme="minorEastAsia" w:hAnsiTheme="minorEastAsia" w:hint="eastAsia"/>
          <w:sz w:val="24"/>
          <w:szCs w:val="24"/>
        </w:rPr>
        <w:t>元，202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年1-</w:t>
      </w:r>
      <w:r>
        <w:rPr>
          <w:rFonts w:asciiTheme="minorEastAsia" w:eastAsiaTheme="minorEastAsia" w:hAnsiTheme="minorEastAsia"/>
          <w:sz w:val="24"/>
          <w:szCs w:val="24"/>
        </w:rPr>
        <w:t>9</w:t>
      </w:r>
      <w:r>
        <w:rPr>
          <w:rFonts w:asciiTheme="minorEastAsia" w:eastAsiaTheme="minorEastAsia" w:hAnsiTheme="minorEastAsia" w:hint="eastAsia"/>
          <w:sz w:val="24"/>
          <w:szCs w:val="24"/>
        </w:rPr>
        <w:t>月实现营业收入</w:t>
      </w:r>
      <w:r>
        <w:rPr>
          <w:rFonts w:asciiTheme="minorEastAsia" w:eastAsiaTheme="minorEastAsia" w:hAnsiTheme="minorEastAsia"/>
          <w:sz w:val="24"/>
          <w:szCs w:val="24"/>
        </w:rPr>
        <w:t>226,327.80</w:t>
      </w:r>
      <w:r>
        <w:rPr>
          <w:rFonts w:asciiTheme="minorEastAsia" w:eastAsiaTheme="minorEastAsia" w:hAnsiTheme="minorEastAsia" w:hint="eastAsia"/>
          <w:sz w:val="24"/>
          <w:szCs w:val="24"/>
        </w:rPr>
        <w:t>万元，净利润</w:t>
      </w:r>
      <w:r>
        <w:rPr>
          <w:rFonts w:asciiTheme="minorEastAsia" w:eastAsiaTheme="minorEastAsia" w:hAnsiTheme="minorEastAsia"/>
          <w:sz w:val="24"/>
          <w:szCs w:val="24"/>
        </w:rPr>
        <w:t>39,873.25</w:t>
      </w:r>
      <w:r>
        <w:rPr>
          <w:rFonts w:asciiTheme="minorEastAsia" w:eastAsiaTheme="minorEastAsia" w:hAnsiTheme="minorEastAsia" w:hint="eastAsia"/>
          <w:sz w:val="24"/>
          <w:szCs w:val="24"/>
        </w:rPr>
        <w:t>万元，资产负债率为</w:t>
      </w:r>
      <w:r>
        <w:rPr>
          <w:rFonts w:asciiTheme="minorEastAsia" w:eastAsiaTheme="minorEastAsia" w:hAnsiTheme="minorEastAsia"/>
          <w:sz w:val="24"/>
          <w:szCs w:val="24"/>
        </w:rPr>
        <w:t>67.13</w:t>
      </w:r>
      <w:r>
        <w:rPr>
          <w:rFonts w:asciiTheme="minorEastAsia" w:eastAsiaTheme="minorEastAsia" w:hAnsiTheme="minorEastAsia" w:hint="eastAsia"/>
          <w:sz w:val="24"/>
          <w:szCs w:val="24"/>
        </w:rPr>
        <w:t>%</w:t>
      </w:r>
      <w:r w:rsidR="00EC0DB6">
        <w:rPr>
          <w:rFonts w:asciiTheme="minorEastAsia" w:eastAsiaTheme="minorEastAsia" w:hAnsiTheme="minorEastAsia" w:hint="eastAsia"/>
          <w:sz w:val="24"/>
          <w:szCs w:val="24"/>
        </w:rPr>
        <w:t>。（上述</w:t>
      </w:r>
      <w:r>
        <w:rPr>
          <w:rFonts w:asciiTheme="minorEastAsia" w:eastAsiaTheme="minorEastAsia" w:hAnsiTheme="minorEastAsia" w:hint="eastAsia"/>
          <w:sz w:val="24"/>
          <w:szCs w:val="24"/>
        </w:rPr>
        <w:t>数据未经审计）</w:t>
      </w:r>
    </w:p>
    <w:p w:rsidR="00E64872" w:rsidRPr="002F73E7" w:rsidRDefault="00A92DCB" w:rsidP="00BB43D9">
      <w:pPr>
        <w:pStyle w:val="af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三、担保主要内容</w:t>
      </w:r>
    </w:p>
    <w:p w:rsidR="00651EBC" w:rsidRDefault="00CD0464" w:rsidP="008373F8">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w:t>
      </w:r>
      <w:r w:rsidR="00651EBC" w:rsidRPr="00651EBC">
        <w:rPr>
          <w:rFonts w:asciiTheme="minorEastAsia" w:eastAsiaTheme="minorEastAsia" w:hAnsiTheme="minorEastAsia" w:hint="eastAsia"/>
          <w:sz w:val="24"/>
          <w:szCs w:val="24"/>
        </w:rPr>
        <w:t>为</w:t>
      </w:r>
      <w:r w:rsidR="008373F8" w:rsidRPr="00ED1EB2">
        <w:rPr>
          <w:rFonts w:asciiTheme="minorEastAsia" w:eastAsiaTheme="minorEastAsia" w:hAnsiTheme="minorEastAsia" w:hint="eastAsia"/>
          <w:sz w:val="24"/>
          <w:szCs w:val="24"/>
        </w:rPr>
        <w:t>陕西步长</w:t>
      </w:r>
      <w:r w:rsidR="008373F8">
        <w:rPr>
          <w:rFonts w:asciiTheme="minorEastAsia" w:eastAsiaTheme="minorEastAsia" w:hAnsiTheme="minorEastAsia" w:hint="eastAsia"/>
          <w:sz w:val="24"/>
          <w:szCs w:val="24"/>
        </w:rPr>
        <w:t>在工商</w:t>
      </w:r>
      <w:r w:rsidR="008373F8" w:rsidRPr="00ED1EB2">
        <w:rPr>
          <w:rFonts w:asciiTheme="minorEastAsia" w:eastAsiaTheme="minorEastAsia" w:hAnsiTheme="minorEastAsia" w:hint="eastAsia"/>
          <w:sz w:val="24"/>
          <w:szCs w:val="24"/>
        </w:rPr>
        <w:t>银行</w:t>
      </w:r>
      <w:r w:rsidR="008373F8">
        <w:rPr>
          <w:rFonts w:asciiTheme="minorEastAsia" w:eastAsiaTheme="minorEastAsia" w:hAnsiTheme="minorEastAsia" w:hint="eastAsia"/>
          <w:sz w:val="24"/>
          <w:szCs w:val="24"/>
        </w:rPr>
        <w:t>咸阳人民中路支</w:t>
      </w:r>
      <w:r w:rsidR="008373F8" w:rsidRPr="00ED1EB2">
        <w:rPr>
          <w:rFonts w:asciiTheme="minorEastAsia" w:eastAsiaTheme="minorEastAsia" w:hAnsiTheme="minorEastAsia" w:hint="eastAsia"/>
          <w:sz w:val="24"/>
          <w:szCs w:val="24"/>
        </w:rPr>
        <w:t>行</w:t>
      </w:r>
      <w:r w:rsidR="008373F8">
        <w:rPr>
          <w:rFonts w:asciiTheme="minorEastAsia" w:eastAsiaTheme="minorEastAsia" w:hAnsiTheme="minorEastAsia" w:hint="eastAsia"/>
          <w:sz w:val="24"/>
          <w:szCs w:val="24"/>
        </w:rPr>
        <w:t>办理的供应链专项授信业务</w:t>
      </w:r>
      <w:r w:rsidR="00651EBC" w:rsidRPr="00651EBC">
        <w:rPr>
          <w:rFonts w:asciiTheme="minorEastAsia" w:eastAsiaTheme="minorEastAsia" w:hAnsiTheme="minorEastAsia" w:hint="eastAsia"/>
          <w:sz w:val="24"/>
          <w:szCs w:val="24"/>
        </w:rPr>
        <w:t>提供</w:t>
      </w:r>
      <w:r w:rsidR="00E4037D">
        <w:rPr>
          <w:rFonts w:asciiTheme="minorEastAsia" w:eastAsiaTheme="minorEastAsia" w:hAnsiTheme="minorEastAsia"/>
          <w:bCs/>
          <w:sz w:val="24"/>
          <w:szCs w:val="24"/>
        </w:rPr>
        <w:t>18</w:t>
      </w:r>
      <w:r w:rsidR="00E4037D" w:rsidRPr="00ED1EB2">
        <w:rPr>
          <w:rFonts w:asciiTheme="minorEastAsia" w:eastAsiaTheme="minorEastAsia" w:hAnsiTheme="minorEastAsia"/>
          <w:bCs/>
          <w:sz w:val="24"/>
          <w:szCs w:val="24"/>
        </w:rPr>
        <w:t>,000</w:t>
      </w:r>
      <w:r w:rsidR="00651EBC" w:rsidRPr="00651EBC">
        <w:rPr>
          <w:rFonts w:asciiTheme="minorEastAsia" w:eastAsiaTheme="minorEastAsia" w:hAnsiTheme="minorEastAsia" w:hint="eastAsia"/>
          <w:sz w:val="24"/>
          <w:szCs w:val="24"/>
        </w:rPr>
        <w:t>万元连带责任保证</w:t>
      </w:r>
      <w:r w:rsidR="00651EBC">
        <w:rPr>
          <w:rFonts w:asciiTheme="minorEastAsia" w:eastAsiaTheme="minorEastAsia" w:hAnsiTheme="minorEastAsia" w:hint="eastAsia"/>
          <w:sz w:val="24"/>
          <w:szCs w:val="24"/>
        </w:rPr>
        <w:t>。</w:t>
      </w:r>
    </w:p>
    <w:p w:rsidR="00E64872" w:rsidRPr="0003253A" w:rsidRDefault="00B47CC1" w:rsidP="00D32E87">
      <w:pPr>
        <w:pStyle w:val="af0"/>
        <w:numPr>
          <w:ilvl w:val="0"/>
          <w:numId w:val="3"/>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保证</w:t>
      </w:r>
      <w:r w:rsidR="0003253A">
        <w:rPr>
          <w:rFonts w:asciiTheme="minorEastAsia" w:eastAsiaTheme="minorEastAsia" w:hAnsiTheme="minorEastAsia" w:hint="eastAsia"/>
          <w:sz w:val="24"/>
          <w:szCs w:val="24"/>
        </w:rPr>
        <w:t>方式：</w:t>
      </w:r>
      <w:r w:rsidR="00A92DCB" w:rsidRPr="0003253A">
        <w:rPr>
          <w:rFonts w:asciiTheme="minorEastAsia" w:eastAsiaTheme="minorEastAsia" w:hAnsiTheme="minorEastAsia" w:hint="eastAsia"/>
          <w:sz w:val="24"/>
          <w:szCs w:val="24"/>
        </w:rPr>
        <w:t>连带责任保证</w:t>
      </w:r>
    </w:p>
    <w:p w:rsidR="002218BC" w:rsidRPr="002218BC" w:rsidRDefault="00EB4E1F" w:rsidP="002218BC">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CD0464">
        <w:rPr>
          <w:rFonts w:asciiTheme="minorEastAsia" w:eastAsiaTheme="minorEastAsia" w:hAnsiTheme="minorEastAsia" w:hint="eastAsia"/>
          <w:sz w:val="24"/>
          <w:szCs w:val="24"/>
        </w:rPr>
        <w:t>）</w:t>
      </w:r>
      <w:r w:rsidR="00A92DCB">
        <w:rPr>
          <w:rFonts w:asciiTheme="minorEastAsia" w:eastAsiaTheme="minorEastAsia" w:hAnsiTheme="minorEastAsia"/>
          <w:sz w:val="24"/>
          <w:szCs w:val="24"/>
        </w:rPr>
        <w:t>保证期间</w:t>
      </w:r>
      <w:r w:rsidR="0003253A">
        <w:rPr>
          <w:rFonts w:asciiTheme="minorEastAsia" w:eastAsiaTheme="minorEastAsia" w:hAnsiTheme="minorEastAsia" w:hint="eastAsia"/>
          <w:sz w:val="24"/>
          <w:szCs w:val="24"/>
        </w:rPr>
        <w:t>：</w:t>
      </w:r>
      <w:r w:rsidR="002218BC" w:rsidRPr="002218BC">
        <w:rPr>
          <w:rFonts w:asciiTheme="minorEastAsia" w:eastAsiaTheme="minorEastAsia" w:hAnsiTheme="minorEastAsia" w:hint="eastAsia"/>
          <w:sz w:val="24"/>
          <w:szCs w:val="24"/>
        </w:rPr>
        <w:t>若主合同为借款合同或贵金属租借合同，则本合同项下的保证期间为：自主合同项下的借款期限或贵金属租借期限届满之次日起三年；甲方根据主合同之约定宣布借款或贵金属租借提前到期的，则保证期间为借款或贵金属租借提前到期日之次日起三年。</w:t>
      </w:r>
    </w:p>
    <w:p w:rsidR="002218BC" w:rsidRPr="002218BC" w:rsidRDefault="002218BC" w:rsidP="002218BC">
      <w:pPr>
        <w:snapToGrid w:val="0"/>
        <w:spacing w:line="360" w:lineRule="auto"/>
        <w:ind w:firstLineChars="200" w:firstLine="480"/>
        <w:rPr>
          <w:rFonts w:asciiTheme="minorEastAsia" w:eastAsiaTheme="minorEastAsia" w:hAnsiTheme="minorEastAsia"/>
          <w:sz w:val="24"/>
          <w:szCs w:val="24"/>
        </w:rPr>
      </w:pPr>
      <w:r w:rsidRPr="002218BC">
        <w:rPr>
          <w:rFonts w:asciiTheme="minorEastAsia" w:eastAsiaTheme="minorEastAsia" w:hAnsiTheme="minorEastAsia" w:hint="eastAsia"/>
          <w:sz w:val="24"/>
          <w:szCs w:val="24"/>
        </w:rPr>
        <w:t>若主合同为银行承兑协议，则保证期间为自甲方对外承付之次日起三年。</w:t>
      </w:r>
    </w:p>
    <w:p w:rsidR="002218BC" w:rsidRPr="002218BC" w:rsidRDefault="002218BC" w:rsidP="002218BC">
      <w:pPr>
        <w:snapToGrid w:val="0"/>
        <w:spacing w:line="360" w:lineRule="auto"/>
        <w:ind w:firstLineChars="200" w:firstLine="480"/>
        <w:rPr>
          <w:rFonts w:asciiTheme="minorEastAsia" w:eastAsiaTheme="minorEastAsia" w:hAnsiTheme="minorEastAsia"/>
          <w:sz w:val="24"/>
          <w:szCs w:val="24"/>
        </w:rPr>
      </w:pPr>
      <w:r w:rsidRPr="002218BC">
        <w:rPr>
          <w:rFonts w:asciiTheme="minorEastAsia" w:eastAsiaTheme="minorEastAsia" w:hAnsiTheme="minorEastAsia" w:hint="eastAsia"/>
          <w:sz w:val="24"/>
          <w:szCs w:val="24"/>
        </w:rPr>
        <w:t>若主合同为开立担保协议，则保证期间为自甲方履行担保义务之次日起三年。</w:t>
      </w:r>
    </w:p>
    <w:p w:rsidR="002218BC" w:rsidRPr="002218BC" w:rsidRDefault="002218BC" w:rsidP="002218BC">
      <w:pPr>
        <w:snapToGrid w:val="0"/>
        <w:spacing w:line="360" w:lineRule="auto"/>
        <w:ind w:firstLineChars="200" w:firstLine="480"/>
        <w:rPr>
          <w:rFonts w:asciiTheme="minorEastAsia" w:eastAsiaTheme="minorEastAsia" w:hAnsiTheme="minorEastAsia"/>
          <w:sz w:val="24"/>
          <w:szCs w:val="24"/>
        </w:rPr>
      </w:pPr>
      <w:r w:rsidRPr="002218BC">
        <w:rPr>
          <w:rFonts w:asciiTheme="minorEastAsia" w:eastAsiaTheme="minorEastAsia" w:hAnsiTheme="minorEastAsia" w:hint="eastAsia"/>
          <w:sz w:val="24"/>
          <w:szCs w:val="24"/>
        </w:rPr>
        <w:t>若主合同为信用证开证协议/合同，则保证期间为自甲方支付信用证项下款项之次日起三年。</w:t>
      </w:r>
    </w:p>
    <w:p w:rsidR="002218BC" w:rsidRDefault="002218BC" w:rsidP="002218BC">
      <w:pPr>
        <w:snapToGrid w:val="0"/>
        <w:spacing w:line="360" w:lineRule="auto"/>
        <w:ind w:firstLineChars="200" w:firstLine="480"/>
        <w:rPr>
          <w:rFonts w:asciiTheme="minorEastAsia" w:eastAsiaTheme="minorEastAsia" w:hAnsiTheme="minorEastAsia"/>
          <w:sz w:val="24"/>
          <w:szCs w:val="24"/>
        </w:rPr>
      </w:pPr>
      <w:r w:rsidRPr="002218BC">
        <w:rPr>
          <w:rFonts w:asciiTheme="minorEastAsia" w:eastAsiaTheme="minorEastAsia" w:hAnsiTheme="minorEastAsia" w:hint="eastAsia"/>
          <w:sz w:val="24"/>
          <w:szCs w:val="24"/>
        </w:rPr>
        <w:t>若主合同为其他融资文件的，则保证期间自主合同确定的债权到期或提前到期之次日起三年。</w:t>
      </w:r>
    </w:p>
    <w:p w:rsidR="002218BC" w:rsidRDefault="00EB4E1F" w:rsidP="002218BC">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CD0464">
        <w:rPr>
          <w:rFonts w:asciiTheme="minorEastAsia" w:eastAsiaTheme="minorEastAsia" w:hAnsiTheme="minorEastAsia" w:hint="eastAsia"/>
          <w:sz w:val="24"/>
          <w:szCs w:val="24"/>
        </w:rPr>
        <w:t>）</w:t>
      </w:r>
      <w:r w:rsidR="00A92DCB">
        <w:rPr>
          <w:rFonts w:asciiTheme="minorEastAsia" w:eastAsiaTheme="minorEastAsia" w:hAnsiTheme="minorEastAsia" w:hint="eastAsia"/>
          <w:sz w:val="24"/>
          <w:szCs w:val="24"/>
        </w:rPr>
        <w:t>保证范围：</w:t>
      </w:r>
      <w:r w:rsidR="002218BC" w:rsidRPr="002218BC">
        <w:rPr>
          <w:rFonts w:asciiTheme="minorEastAsia" w:eastAsiaTheme="minorEastAsia" w:hAnsiTheme="minorEastAsia" w:hint="eastAsia"/>
          <w:sz w:val="24"/>
          <w:szCs w:val="24"/>
        </w:rPr>
        <w:t>主债权本金(包括贵金属租借债权本金</w:t>
      </w:r>
      <w:proofErr w:type="gramStart"/>
      <w:r w:rsidR="002218BC" w:rsidRPr="002218BC">
        <w:rPr>
          <w:rFonts w:asciiTheme="minorEastAsia" w:eastAsiaTheme="minorEastAsia" w:hAnsiTheme="minorEastAsia" w:hint="eastAsia"/>
          <w:sz w:val="24"/>
          <w:szCs w:val="24"/>
        </w:rPr>
        <w:t>及其按</w:t>
      </w:r>
      <w:proofErr w:type="gramEnd"/>
      <w:r w:rsidR="002218BC" w:rsidRPr="002218BC">
        <w:rPr>
          <w:rFonts w:asciiTheme="minorEastAsia" w:eastAsiaTheme="minorEastAsia" w:hAnsiTheme="minorEastAsia" w:hint="eastAsia"/>
          <w:sz w:val="24"/>
          <w:szCs w:val="24"/>
        </w:rPr>
        <w:t>贵金属租借合同的约定折算而成的人民币金额)、利息、贵金属租借费与个性化服务费、复利、罚息、违约金、损害赔偿金、贵金属租借重量溢短费、汇率损失(因汇率变动引起的相关损失)、因贵金属价格变动引起的相关损失、贵金属租借合同借出方根据主合同约定行使相应权利所产生的交易费等费用以及实现债权的费用(包括但不限于诉讼费、律师费等)。</w:t>
      </w:r>
    </w:p>
    <w:p w:rsidR="00E64872" w:rsidRDefault="00A92DCB" w:rsidP="002218BC">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担保的必要性和合理性</w:t>
      </w:r>
    </w:p>
    <w:p w:rsidR="00E64872" w:rsidRDefault="00A92DCB" w:rsidP="003C323D">
      <w:pPr>
        <w:pStyle w:val="af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本次担保是</w:t>
      </w:r>
      <w:r w:rsidR="00F54542">
        <w:rPr>
          <w:rFonts w:asciiTheme="minorEastAsia" w:eastAsiaTheme="minorEastAsia" w:hAnsiTheme="minorEastAsia" w:hint="eastAsia"/>
          <w:bCs/>
          <w:sz w:val="24"/>
          <w:szCs w:val="24"/>
        </w:rPr>
        <w:t>陕西</w:t>
      </w:r>
      <w:r w:rsidR="00EB4E1F">
        <w:rPr>
          <w:rFonts w:asciiTheme="minorEastAsia" w:eastAsiaTheme="minorEastAsia" w:hAnsiTheme="minorEastAsia" w:hint="eastAsia"/>
          <w:bCs/>
          <w:sz w:val="24"/>
          <w:szCs w:val="24"/>
        </w:rPr>
        <w:t>步长</w:t>
      </w:r>
      <w:r>
        <w:rPr>
          <w:rFonts w:asciiTheme="minorEastAsia" w:eastAsiaTheme="minorEastAsia" w:hAnsiTheme="minorEastAsia" w:hint="eastAsia"/>
          <w:bCs/>
          <w:sz w:val="24"/>
          <w:szCs w:val="24"/>
        </w:rPr>
        <w:t>满足日常经营需要的必要担保，有利于其稳健经营及长远发展，该担保的履行对公司的发展和效益提升有积极作用。被担保企业具备</w:t>
      </w:r>
      <w:r w:rsidR="00EB4E1F">
        <w:rPr>
          <w:rFonts w:asciiTheme="minorEastAsia" w:eastAsiaTheme="minorEastAsia" w:hAnsiTheme="minorEastAsia" w:hint="eastAsia"/>
          <w:bCs/>
          <w:sz w:val="24"/>
          <w:szCs w:val="24"/>
        </w:rPr>
        <w:t>正常的债务偿还能力，不存在影响其偿债能力的重大或有事项。</w:t>
      </w:r>
      <w:r w:rsidRPr="008D37A5">
        <w:rPr>
          <w:rFonts w:asciiTheme="minorEastAsia" w:eastAsiaTheme="minorEastAsia" w:hAnsiTheme="minorEastAsia" w:hint="eastAsia"/>
          <w:bCs/>
          <w:sz w:val="24"/>
          <w:szCs w:val="24"/>
        </w:rPr>
        <w:t>该项担保风险可控，</w:t>
      </w:r>
      <w:r w:rsidRPr="008D37A5">
        <w:rPr>
          <w:rFonts w:asciiTheme="minorEastAsia" w:eastAsiaTheme="minorEastAsia" w:hAnsiTheme="minorEastAsia" w:hint="eastAsia"/>
          <w:bCs/>
          <w:sz w:val="24"/>
          <w:szCs w:val="24"/>
        </w:rPr>
        <w:lastRenderedPageBreak/>
        <w:t>不会损害公司及股东利益。</w:t>
      </w:r>
    </w:p>
    <w:p w:rsidR="00E64872" w:rsidRDefault="00A92DCB">
      <w:pPr>
        <w:pStyle w:val="af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五、董事会</w:t>
      </w:r>
      <w:r>
        <w:rPr>
          <w:rFonts w:asciiTheme="minorEastAsia" w:eastAsiaTheme="minorEastAsia" w:hAnsiTheme="minorEastAsia"/>
          <w:b/>
          <w:sz w:val="24"/>
          <w:szCs w:val="24"/>
        </w:rPr>
        <w:t>意见</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公司第四届董事会第</w:t>
      </w:r>
      <w:r w:rsidR="00EB4E1F">
        <w:rPr>
          <w:rFonts w:asciiTheme="minorEastAsia" w:eastAsiaTheme="minorEastAsia" w:hAnsiTheme="minorEastAsia" w:hint="eastAsia"/>
          <w:sz w:val="24"/>
          <w:szCs w:val="24"/>
        </w:rPr>
        <w:t>三十五</w:t>
      </w:r>
      <w:r>
        <w:rPr>
          <w:rFonts w:asciiTheme="minorEastAsia" w:eastAsiaTheme="minorEastAsia" w:hAnsiTheme="minorEastAsia" w:hint="eastAsia"/>
          <w:sz w:val="24"/>
          <w:szCs w:val="24"/>
        </w:rPr>
        <w:t>次（年度）会议及</w:t>
      </w:r>
      <w:r w:rsidR="00EB4E1F">
        <w:rPr>
          <w:rFonts w:asciiTheme="minorEastAsia" w:eastAsiaTheme="minorEastAsia" w:hAnsiTheme="minorEastAsia" w:hint="eastAsia"/>
          <w:sz w:val="24"/>
          <w:szCs w:val="24"/>
        </w:rPr>
        <w:t>202</w:t>
      </w:r>
      <w:r w:rsidR="00EB4E1F">
        <w:rPr>
          <w:rFonts w:asciiTheme="minorEastAsia" w:eastAsiaTheme="minorEastAsia" w:hAnsiTheme="minorEastAsia"/>
          <w:sz w:val="24"/>
          <w:szCs w:val="24"/>
        </w:rPr>
        <w:t>2</w:t>
      </w:r>
      <w:r>
        <w:rPr>
          <w:rFonts w:asciiTheme="minorEastAsia" w:eastAsiaTheme="minorEastAsia" w:hAnsiTheme="minorEastAsia" w:hint="eastAsia"/>
          <w:sz w:val="24"/>
          <w:szCs w:val="24"/>
        </w:rPr>
        <w:t>年年度股东大会审议通过了《关于审议公司及控股子公司</w:t>
      </w:r>
      <w:r w:rsidR="00EB4E1F">
        <w:rPr>
          <w:rFonts w:asciiTheme="minorEastAsia" w:eastAsiaTheme="minorEastAsia" w:hAnsiTheme="minorEastAsia" w:hint="eastAsia"/>
          <w:sz w:val="24"/>
          <w:szCs w:val="24"/>
        </w:rPr>
        <w:t>202</w:t>
      </w:r>
      <w:r w:rsidR="00EB4E1F">
        <w:rPr>
          <w:rFonts w:asciiTheme="minorEastAsia" w:eastAsiaTheme="minorEastAsia" w:hAnsiTheme="minorEastAsia"/>
          <w:sz w:val="24"/>
          <w:szCs w:val="24"/>
        </w:rPr>
        <w:t>3</w:t>
      </w:r>
      <w:r>
        <w:rPr>
          <w:rFonts w:asciiTheme="minorEastAsia" w:eastAsiaTheme="minorEastAsia" w:hAnsiTheme="minorEastAsia" w:hint="eastAsia"/>
          <w:sz w:val="24"/>
          <w:szCs w:val="24"/>
        </w:rPr>
        <w:t>年度预计新增融资额度及担保额度的议案》。本次担保属于前述授权额度范围，风险可控，公平对等，不会损害公司利益。</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b/>
          <w:sz w:val="24"/>
          <w:szCs w:val="24"/>
        </w:rPr>
        <w:t>累计对外担保数量及逾期担保的数量</w:t>
      </w:r>
    </w:p>
    <w:p w:rsidR="00E64872" w:rsidRPr="003C323D" w:rsidRDefault="00A92DCB" w:rsidP="003C323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sidRPr="00DA35ED">
        <w:rPr>
          <w:rFonts w:asciiTheme="minorEastAsia" w:eastAsiaTheme="minorEastAsia" w:hAnsiTheme="minorEastAsia" w:hint="eastAsia"/>
          <w:sz w:val="24"/>
          <w:szCs w:val="24"/>
        </w:rPr>
        <w:t>截至本</w:t>
      </w:r>
      <w:r w:rsidRPr="00DA35ED">
        <w:rPr>
          <w:rFonts w:asciiTheme="minorEastAsia" w:eastAsiaTheme="minorEastAsia" w:hAnsiTheme="minorEastAsia"/>
          <w:sz w:val="24"/>
          <w:szCs w:val="24"/>
        </w:rPr>
        <w:t>公告披露日，</w:t>
      </w:r>
      <w:r w:rsidRPr="00DA35ED">
        <w:rPr>
          <w:rFonts w:asciiTheme="minorEastAsia" w:eastAsiaTheme="minorEastAsia" w:hAnsiTheme="minorEastAsia" w:hint="eastAsia"/>
          <w:sz w:val="24"/>
          <w:szCs w:val="24"/>
        </w:rPr>
        <w:t>公司及控股子公司已提供的担保总额为人民币</w:t>
      </w:r>
      <w:r w:rsidR="009962C9" w:rsidRPr="009962C9">
        <w:rPr>
          <w:rFonts w:asciiTheme="minorEastAsia" w:eastAsiaTheme="minorEastAsia" w:hAnsiTheme="minorEastAsia"/>
          <w:sz w:val="24"/>
          <w:szCs w:val="24"/>
        </w:rPr>
        <w:t>313</w:t>
      </w:r>
      <w:r w:rsidR="002B7944">
        <w:rPr>
          <w:rFonts w:asciiTheme="minorEastAsia" w:eastAsiaTheme="minorEastAsia" w:hAnsiTheme="minorEastAsia"/>
          <w:sz w:val="24"/>
          <w:szCs w:val="24"/>
        </w:rPr>
        <w:t>,</w:t>
      </w:r>
      <w:r w:rsidR="009962C9" w:rsidRPr="009962C9">
        <w:rPr>
          <w:rFonts w:asciiTheme="minorEastAsia" w:eastAsiaTheme="minorEastAsia" w:hAnsiTheme="minorEastAsia"/>
          <w:sz w:val="24"/>
          <w:szCs w:val="24"/>
        </w:rPr>
        <w:t>673</w:t>
      </w:r>
      <w:r w:rsidR="002B7944">
        <w:rPr>
          <w:rFonts w:asciiTheme="minorEastAsia" w:eastAsiaTheme="minorEastAsia" w:hAnsiTheme="minorEastAsia"/>
          <w:sz w:val="24"/>
          <w:szCs w:val="24"/>
        </w:rPr>
        <w:t>.</w:t>
      </w:r>
      <w:r w:rsidR="009962C9" w:rsidRPr="009962C9">
        <w:rPr>
          <w:rFonts w:asciiTheme="minorEastAsia" w:eastAsiaTheme="minorEastAsia" w:hAnsiTheme="minorEastAsia"/>
          <w:sz w:val="24"/>
          <w:szCs w:val="24"/>
        </w:rPr>
        <w:t>7</w:t>
      </w:r>
      <w:r w:rsidR="002B7944">
        <w:rPr>
          <w:rFonts w:asciiTheme="minorEastAsia" w:eastAsiaTheme="minorEastAsia" w:hAnsiTheme="minorEastAsia"/>
          <w:sz w:val="24"/>
          <w:szCs w:val="24"/>
        </w:rPr>
        <w:t>1</w:t>
      </w:r>
      <w:r w:rsidR="002B7944">
        <w:rPr>
          <w:rFonts w:asciiTheme="minorEastAsia" w:eastAsiaTheme="minorEastAsia" w:hAnsiTheme="minorEastAsia" w:hint="eastAsia"/>
          <w:sz w:val="24"/>
          <w:szCs w:val="24"/>
        </w:rPr>
        <w:t>万</w:t>
      </w:r>
      <w:r w:rsidRPr="008D37A5">
        <w:rPr>
          <w:rFonts w:asciiTheme="minorEastAsia" w:eastAsiaTheme="minorEastAsia" w:hAnsiTheme="minorEastAsia" w:hint="eastAsia"/>
          <w:sz w:val="24"/>
          <w:szCs w:val="24"/>
        </w:rPr>
        <w:t>元</w:t>
      </w:r>
      <w:r w:rsidRPr="008D37A5">
        <w:rPr>
          <w:rFonts w:asciiTheme="minorEastAsia" w:eastAsiaTheme="minorEastAsia" w:hAnsiTheme="minorEastAsia"/>
          <w:sz w:val="24"/>
          <w:szCs w:val="24"/>
        </w:rPr>
        <w:t>，</w:t>
      </w:r>
      <w:r w:rsidRPr="00DA35ED">
        <w:rPr>
          <w:rFonts w:asciiTheme="minorEastAsia" w:eastAsiaTheme="minorEastAsia" w:hAnsiTheme="minorEastAsia"/>
          <w:sz w:val="24"/>
          <w:szCs w:val="24"/>
        </w:rPr>
        <w:t>占</w:t>
      </w:r>
      <w:r w:rsidRPr="00DA35ED">
        <w:rPr>
          <w:rFonts w:asciiTheme="minorEastAsia" w:eastAsiaTheme="minorEastAsia" w:hAnsiTheme="minorEastAsia" w:hint="eastAsia"/>
          <w:sz w:val="24"/>
          <w:szCs w:val="24"/>
        </w:rPr>
        <w:t>20</w:t>
      </w:r>
      <w:r w:rsidR="00EB4E1F">
        <w:rPr>
          <w:rFonts w:asciiTheme="minorEastAsia" w:eastAsiaTheme="minorEastAsia" w:hAnsiTheme="minorEastAsia"/>
          <w:sz w:val="24"/>
          <w:szCs w:val="24"/>
        </w:rPr>
        <w:t>22</w:t>
      </w:r>
      <w:r w:rsidRPr="00DA35ED">
        <w:rPr>
          <w:rFonts w:asciiTheme="minorEastAsia" w:eastAsiaTheme="minorEastAsia" w:hAnsiTheme="minorEastAsia" w:hint="eastAsia"/>
          <w:sz w:val="24"/>
          <w:szCs w:val="24"/>
        </w:rPr>
        <w:t>年</w:t>
      </w:r>
      <w:proofErr w:type="gramStart"/>
      <w:r w:rsidRPr="00DA35ED">
        <w:rPr>
          <w:rFonts w:asciiTheme="minorEastAsia" w:eastAsiaTheme="minorEastAsia" w:hAnsiTheme="minorEastAsia" w:hint="eastAsia"/>
          <w:sz w:val="24"/>
          <w:szCs w:val="24"/>
        </w:rPr>
        <w:t>末经</w:t>
      </w:r>
      <w:proofErr w:type="gramEnd"/>
      <w:r w:rsidRPr="00DA35ED">
        <w:rPr>
          <w:rFonts w:asciiTheme="minorEastAsia" w:eastAsiaTheme="minorEastAsia" w:hAnsiTheme="minorEastAsia" w:hint="eastAsia"/>
          <w:sz w:val="24"/>
          <w:szCs w:val="24"/>
        </w:rPr>
        <w:t>审计的公司净资产的</w:t>
      </w:r>
      <w:r w:rsidR="00955404">
        <w:rPr>
          <w:rFonts w:asciiTheme="minorEastAsia" w:eastAsiaTheme="minorEastAsia" w:hAnsiTheme="minorEastAsia" w:hint="eastAsia"/>
          <w:sz w:val="24"/>
          <w:szCs w:val="24"/>
        </w:rPr>
        <w:t>2</w:t>
      </w:r>
      <w:r w:rsidR="00955404">
        <w:rPr>
          <w:rFonts w:asciiTheme="minorEastAsia" w:eastAsiaTheme="minorEastAsia" w:hAnsiTheme="minorEastAsia"/>
          <w:sz w:val="24"/>
          <w:szCs w:val="24"/>
        </w:rPr>
        <w:t>5.37</w:t>
      </w:r>
      <w:r w:rsidRPr="00DA35ED">
        <w:rPr>
          <w:rFonts w:asciiTheme="minorEastAsia" w:eastAsiaTheme="minorEastAsia" w:hAnsiTheme="minorEastAsia" w:hint="eastAsia"/>
          <w:sz w:val="24"/>
          <w:szCs w:val="24"/>
        </w:rPr>
        <w:t>%。截止目前，公司无逾期</w:t>
      </w:r>
      <w:r w:rsidRPr="00DA35ED">
        <w:rPr>
          <w:rFonts w:asciiTheme="minorEastAsia" w:eastAsiaTheme="minorEastAsia" w:hAnsiTheme="minorEastAsia"/>
          <w:sz w:val="24"/>
          <w:szCs w:val="24"/>
        </w:rPr>
        <w:t>对外担保</w:t>
      </w:r>
      <w:r w:rsidRPr="00DA35ED">
        <w:rPr>
          <w:rFonts w:asciiTheme="minorEastAsia" w:eastAsiaTheme="minorEastAsia" w:hAnsiTheme="minorEastAsia" w:hint="eastAsia"/>
          <w:sz w:val="24"/>
          <w:szCs w:val="24"/>
        </w:rPr>
        <w:t>。</w:t>
      </w:r>
    </w:p>
    <w:p w:rsidR="00D85A71" w:rsidRDefault="00D85A7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r>
        <w:rPr>
          <w:rFonts w:hint="eastAsia"/>
          <w:sz w:val="24"/>
          <w:szCs w:val="24"/>
        </w:rPr>
        <w:t>特此公告。</w:t>
      </w:r>
    </w:p>
    <w:p w:rsidR="00E64872" w:rsidRDefault="00E6487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p>
    <w:p w:rsidR="00E64872" w:rsidRDefault="00E6487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p>
    <w:p w:rsidR="00E64872" w:rsidRDefault="00A92DCB">
      <w:pPr>
        <w:autoSpaceDE w:val="0"/>
        <w:autoSpaceDN w:val="0"/>
        <w:spacing w:line="360" w:lineRule="auto"/>
        <w:ind w:right="240" w:firstLineChars="200" w:firstLine="480"/>
        <w:jc w:val="right"/>
        <w:rPr>
          <w:rFonts w:asciiTheme="minorEastAsia" w:eastAsiaTheme="minorEastAsia" w:hAnsiTheme="minorEastAsia" w:cs="KAPJJC+ËÎÌå"/>
          <w:color w:val="000000"/>
          <w:sz w:val="24"/>
        </w:rPr>
      </w:pPr>
      <w:r>
        <w:rPr>
          <w:rFonts w:asciiTheme="minorEastAsia" w:eastAsiaTheme="minorEastAsia" w:hAnsiTheme="minorEastAsia" w:cs="KAPJJC+ËÎÌå" w:hint="eastAsia"/>
          <w:color w:val="000000"/>
          <w:sz w:val="24"/>
        </w:rPr>
        <w:t>山东步长制药股份有限公司董事会</w:t>
      </w:r>
    </w:p>
    <w:p w:rsidR="00E64872" w:rsidRDefault="00A92DCB" w:rsidP="00F22A99">
      <w:pPr>
        <w:wordWrap w:val="0"/>
        <w:autoSpaceDE w:val="0"/>
        <w:autoSpaceDN w:val="0"/>
        <w:spacing w:line="360" w:lineRule="auto"/>
        <w:ind w:right="1200" w:firstLineChars="200" w:firstLine="480"/>
        <w:jc w:val="right"/>
        <w:rPr>
          <w:rFonts w:asciiTheme="minorEastAsia" w:eastAsiaTheme="minorEastAsia" w:hAnsiTheme="minorEastAsia"/>
          <w:kern w:val="24"/>
          <w:sz w:val="24"/>
          <w:szCs w:val="24"/>
        </w:rPr>
      </w:pPr>
      <w:r>
        <w:rPr>
          <w:rFonts w:asciiTheme="minorEastAsia" w:eastAsiaTheme="minorEastAsia" w:hAnsiTheme="minorEastAsia" w:cs="KAPJJC+ËÎÌå" w:hint="eastAsia"/>
          <w:color w:val="000000"/>
          <w:sz w:val="24"/>
        </w:rPr>
        <w:t>20</w:t>
      </w:r>
      <w:r w:rsidR="00352F7C">
        <w:rPr>
          <w:rFonts w:asciiTheme="minorEastAsia" w:eastAsiaTheme="minorEastAsia" w:hAnsiTheme="minorEastAsia" w:cs="KAPJJC+ËÎÌå"/>
          <w:color w:val="000000"/>
          <w:sz w:val="24"/>
        </w:rPr>
        <w:t>2</w:t>
      </w:r>
      <w:r w:rsidR="00ED1EB2">
        <w:rPr>
          <w:rFonts w:asciiTheme="minorEastAsia" w:eastAsiaTheme="minorEastAsia" w:hAnsiTheme="minorEastAsia" w:cs="KAPJJC+ËÎÌå"/>
          <w:color w:val="000000"/>
          <w:sz w:val="24"/>
        </w:rPr>
        <w:t>4</w:t>
      </w:r>
      <w:r>
        <w:rPr>
          <w:rFonts w:asciiTheme="minorEastAsia" w:eastAsiaTheme="minorEastAsia" w:hAnsiTheme="minorEastAsia" w:cs="KAPJJC+ËÎÌå" w:hint="eastAsia"/>
          <w:color w:val="000000"/>
          <w:sz w:val="24"/>
        </w:rPr>
        <w:t>年</w:t>
      </w:r>
      <w:r w:rsidR="00ED1EB2">
        <w:rPr>
          <w:rFonts w:asciiTheme="minorEastAsia" w:eastAsiaTheme="minorEastAsia" w:hAnsiTheme="minorEastAsia" w:cs="KAPJJC+ËÎÌå"/>
          <w:color w:val="000000"/>
          <w:sz w:val="24"/>
        </w:rPr>
        <w:t>3</w:t>
      </w:r>
      <w:r>
        <w:rPr>
          <w:rFonts w:asciiTheme="minorEastAsia" w:eastAsiaTheme="minorEastAsia" w:hAnsiTheme="minorEastAsia" w:cs="KAPJJC+ËÎÌå" w:hint="eastAsia"/>
          <w:color w:val="000000"/>
          <w:sz w:val="24"/>
        </w:rPr>
        <w:t>月</w:t>
      </w:r>
      <w:r w:rsidR="002218BC">
        <w:rPr>
          <w:rFonts w:asciiTheme="minorEastAsia" w:eastAsiaTheme="minorEastAsia" w:hAnsiTheme="minorEastAsia" w:cs="KAPJJC+ËÎÌå"/>
          <w:color w:val="000000"/>
          <w:sz w:val="24"/>
        </w:rPr>
        <w:t>13</w:t>
      </w:r>
      <w:r>
        <w:rPr>
          <w:rFonts w:asciiTheme="minorEastAsia" w:eastAsiaTheme="minorEastAsia" w:hAnsiTheme="minorEastAsia" w:cs="KAPJJC+ËÎÌå" w:hint="eastAsia"/>
          <w:color w:val="000000"/>
          <w:sz w:val="24"/>
        </w:rPr>
        <w:t>日</w:t>
      </w:r>
    </w:p>
    <w:sectPr w:rsidR="00E64872">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869" w:rsidRDefault="00B24869">
      <w:r>
        <w:separator/>
      </w:r>
    </w:p>
  </w:endnote>
  <w:endnote w:type="continuationSeparator" w:id="0">
    <w:p w:rsidR="00B24869" w:rsidRDefault="00B2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KAPJJC+ËÎÌå">
    <w:altName w:val="Segoe Print"/>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51728"/>
    </w:sdtPr>
    <w:sdtEndPr/>
    <w:sdtContent>
      <w:p w:rsidR="00E64872" w:rsidRDefault="00A92DCB">
        <w:pPr>
          <w:pStyle w:val="a7"/>
          <w:jc w:val="center"/>
        </w:pPr>
        <w:r>
          <w:fldChar w:fldCharType="begin"/>
        </w:r>
        <w:r>
          <w:instrText>PAGE   \* MERGEFORMAT</w:instrText>
        </w:r>
        <w:r>
          <w:fldChar w:fldCharType="separate"/>
        </w:r>
        <w:r w:rsidR="008373F8" w:rsidRPr="008373F8">
          <w:rPr>
            <w:noProof/>
            <w:lang w:val="zh-CN"/>
          </w:rPr>
          <w:t>4</w:t>
        </w:r>
        <w:r>
          <w:fldChar w:fldCharType="end"/>
        </w:r>
      </w:p>
    </w:sdtContent>
  </w:sdt>
  <w:p w:rsidR="00E64872" w:rsidRDefault="00E648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869" w:rsidRDefault="00B24869">
      <w:r>
        <w:separator/>
      </w:r>
    </w:p>
  </w:footnote>
  <w:footnote w:type="continuationSeparator" w:id="0">
    <w:p w:rsidR="00B24869" w:rsidRDefault="00B2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902"/>
    <w:multiLevelType w:val="multilevel"/>
    <w:tmpl w:val="006439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23F773D8"/>
    <w:multiLevelType w:val="multilevel"/>
    <w:tmpl w:val="23F773D8"/>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65C159C8"/>
    <w:multiLevelType w:val="hybridMultilevel"/>
    <w:tmpl w:val="2772B67E"/>
    <w:lvl w:ilvl="0" w:tplc="D11EE1E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VhZjQ0YzkxMzM0NzJmNmEyZTU2NDA1MTcwYmE2MDYifQ=="/>
  </w:docVars>
  <w:rsids>
    <w:rsidRoot w:val="00AC7A56"/>
    <w:rsid w:val="000001FE"/>
    <w:rsid w:val="00001173"/>
    <w:rsid w:val="000047F3"/>
    <w:rsid w:val="0000667D"/>
    <w:rsid w:val="00007B42"/>
    <w:rsid w:val="00011828"/>
    <w:rsid w:val="000126A2"/>
    <w:rsid w:val="000130CB"/>
    <w:rsid w:val="0002318A"/>
    <w:rsid w:val="000251E1"/>
    <w:rsid w:val="00027799"/>
    <w:rsid w:val="000302D3"/>
    <w:rsid w:val="0003253A"/>
    <w:rsid w:val="0003691A"/>
    <w:rsid w:val="00037A08"/>
    <w:rsid w:val="00045DCF"/>
    <w:rsid w:val="000564AB"/>
    <w:rsid w:val="00061F27"/>
    <w:rsid w:val="000620C6"/>
    <w:rsid w:val="00080164"/>
    <w:rsid w:val="000813CF"/>
    <w:rsid w:val="0008181C"/>
    <w:rsid w:val="00082567"/>
    <w:rsid w:val="00082B70"/>
    <w:rsid w:val="00084EC9"/>
    <w:rsid w:val="0008654E"/>
    <w:rsid w:val="0008735A"/>
    <w:rsid w:val="000908E3"/>
    <w:rsid w:val="000945DD"/>
    <w:rsid w:val="0009464B"/>
    <w:rsid w:val="0009504D"/>
    <w:rsid w:val="0009644C"/>
    <w:rsid w:val="000A009A"/>
    <w:rsid w:val="000A24F1"/>
    <w:rsid w:val="000A591B"/>
    <w:rsid w:val="000A7B1A"/>
    <w:rsid w:val="000B10E2"/>
    <w:rsid w:val="000B5567"/>
    <w:rsid w:val="000B6294"/>
    <w:rsid w:val="000C21B9"/>
    <w:rsid w:val="000C2615"/>
    <w:rsid w:val="000C721A"/>
    <w:rsid w:val="000D1025"/>
    <w:rsid w:val="000D153C"/>
    <w:rsid w:val="000D5581"/>
    <w:rsid w:val="000D6099"/>
    <w:rsid w:val="000D688B"/>
    <w:rsid w:val="000D70EE"/>
    <w:rsid w:val="000D738C"/>
    <w:rsid w:val="000D7C63"/>
    <w:rsid w:val="000E2F27"/>
    <w:rsid w:val="000E7C8E"/>
    <w:rsid w:val="000F1C51"/>
    <w:rsid w:val="000F3B55"/>
    <w:rsid w:val="000F4BBC"/>
    <w:rsid w:val="001007EB"/>
    <w:rsid w:val="00105C56"/>
    <w:rsid w:val="00105C63"/>
    <w:rsid w:val="00111C1E"/>
    <w:rsid w:val="0011563C"/>
    <w:rsid w:val="00124A0D"/>
    <w:rsid w:val="0012512B"/>
    <w:rsid w:val="0012559C"/>
    <w:rsid w:val="00131EA3"/>
    <w:rsid w:val="001562D4"/>
    <w:rsid w:val="001564CF"/>
    <w:rsid w:val="001569D6"/>
    <w:rsid w:val="0016064E"/>
    <w:rsid w:val="001710AF"/>
    <w:rsid w:val="001717C4"/>
    <w:rsid w:val="00176150"/>
    <w:rsid w:val="00176E92"/>
    <w:rsid w:val="0018597A"/>
    <w:rsid w:val="00187B17"/>
    <w:rsid w:val="00190F35"/>
    <w:rsid w:val="00196B85"/>
    <w:rsid w:val="00197B2C"/>
    <w:rsid w:val="00197CC5"/>
    <w:rsid w:val="001A3667"/>
    <w:rsid w:val="001B256E"/>
    <w:rsid w:val="001B5110"/>
    <w:rsid w:val="001C210D"/>
    <w:rsid w:val="001C5C16"/>
    <w:rsid w:val="001D0ED6"/>
    <w:rsid w:val="001D4C12"/>
    <w:rsid w:val="001D4D62"/>
    <w:rsid w:val="001D5CDD"/>
    <w:rsid w:val="001D74B9"/>
    <w:rsid w:val="001E0969"/>
    <w:rsid w:val="001E4FE9"/>
    <w:rsid w:val="001E6C18"/>
    <w:rsid w:val="001F1325"/>
    <w:rsid w:val="001F79AC"/>
    <w:rsid w:val="00202FC1"/>
    <w:rsid w:val="00203A6E"/>
    <w:rsid w:val="0020491C"/>
    <w:rsid w:val="00205FD7"/>
    <w:rsid w:val="00206F9C"/>
    <w:rsid w:val="002171DF"/>
    <w:rsid w:val="002218BC"/>
    <w:rsid w:val="00221CAE"/>
    <w:rsid w:val="002278D6"/>
    <w:rsid w:val="00231E1B"/>
    <w:rsid w:val="00231E58"/>
    <w:rsid w:val="00232892"/>
    <w:rsid w:val="00233E3F"/>
    <w:rsid w:val="00241C2B"/>
    <w:rsid w:val="002448BD"/>
    <w:rsid w:val="00252182"/>
    <w:rsid w:val="00252FB8"/>
    <w:rsid w:val="00253B58"/>
    <w:rsid w:val="00254B0E"/>
    <w:rsid w:val="002551EA"/>
    <w:rsid w:val="00263CBC"/>
    <w:rsid w:val="0027022A"/>
    <w:rsid w:val="00271F06"/>
    <w:rsid w:val="00280DEE"/>
    <w:rsid w:val="00282DF2"/>
    <w:rsid w:val="00286006"/>
    <w:rsid w:val="002963F0"/>
    <w:rsid w:val="002A58D5"/>
    <w:rsid w:val="002A5E9D"/>
    <w:rsid w:val="002B2F18"/>
    <w:rsid w:val="002B3B5C"/>
    <w:rsid w:val="002B7944"/>
    <w:rsid w:val="002C0F35"/>
    <w:rsid w:val="002C1640"/>
    <w:rsid w:val="002C1766"/>
    <w:rsid w:val="002C1EB9"/>
    <w:rsid w:val="002C23F0"/>
    <w:rsid w:val="002C5A80"/>
    <w:rsid w:val="002D21E8"/>
    <w:rsid w:val="002D2871"/>
    <w:rsid w:val="002D47C7"/>
    <w:rsid w:val="002D500E"/>
    <w:rsid w:val="002D509B"/>
    <w:rsid w:val="002E0C18"/>
    <w:rsid w:val="002E6057"/>
    <w:rsid w:val="002F0971"/>
    <w:rsid w:val="002F3A13"/>
    <w:rsid w:val="002F73E7"/>
    <w:rsid w:val="00300275"/>
    <w:rsid w:val="00301560"/>
    <w:rsid w:val="00302EB8"/>
    <w:rsid w:val="003058F0"/>
    <w:rsid w:val="00307599"/>
    <w:rsid w:val="00311632"/>
    <w:rsid w:val="00313EA5"/>
    <w:rsid w:val="00317AC0"/>
    <w:rsid w:val="00321773"/>
    <w:rsid w:val="00324E74"/>
    <w:rsid w:val="00335E53"/>
    <w:rsid w:val="0033784C"/>
    <w:rsid w:val="00347138"/>
    <w:rsid w:val="00352F7C"/>
    <w:rsid w:val="003531E3"/>
    <w:rsid w:val="00353E35"/>
    <w:rsid w:val="00355C45"/>
    <w:rsid w:val="003604A6"/>
    <w:rsid w:val="00371548"/>
    <w:rsid w:val="0037295F"/>
    <w:rsid w:val="00373505"/>
    <w:rsid w:val="00376422"/>
    <w:rsid w:val="0038285B"/>
    <w:rsid w:val="0038288C"/>
    <w:rsid w:val="003833C0"/>
    <w:rsid w:val="003927F5"/>
    <w:rsid w:val="00395378"/>
    <w:rsid w:val="00395541"/>
    <w:rsid w:val="00395950"/>
    <w:rsid w:val="0039616B"/>
    <w:rsid w:val="003964F8"/>
    <w:rsid w:val="003A32C3"/>
    <w:rsid w:val="003A3A1F"/>
    <w:rsid w:val="003A4143"/>
    <w:rsid w:val="003A4547"/>
    <w:rsid w:val="003A5CFD"/>
    <w:rsid w:val="003B0F77"/>
    <w:rsid w:val="003C323D"/>
    <w:rsid w:val="003D5115"/>
    <w:rsid w:val="003D5FAB"/>
    <w:rsid w:val="003E1F4A"/>
    <w:rsid w:val="003E5184"/>
    <w:rsid w:val="003E5825"/>
    <w:rsid w:val="003E7674"/>
    <w:rsid w:val="003F1311"/>
    <w:rsid w:val="003F153C"/>
    <w:rsid w:val="003F4E3A"/>
    <w:rsid w:val="003F71E1"/>
    <w:rsid w:val="00405498"/>
    <w:rsid w:val="00406B9E"/>
    <w:rsid w:val="00411786"/>
    <w:rsid w:val="00416C81"/>
    <w:rsid w:val="00417A35"/>
    <w:rsid w:val="0042073A"/>
    <w:rsid w:val="004211D6"/>
    <w:rsid w:val="004227D9"/>
    <w:rsid w:val="00427106"/>
    <w:rsid w:val="004277A0"/>
    <w:rsid w:val="00427F10"/>
    <w:rsid w:val="004319A0"/>
    <w:rsid w:val="00443414"/>
    <w:rsid w:val="004451A8"/>
    <w:rsid w:val="004502BB"/>
    <w:rsid w:val="00451E7E"/>
    <w:rsid w:val="00453672"/>
    <w:rsid w:val="00454091"/>
    <w:rsid w:val="00462AFB"/>
    <w:rsid w:val="00466DF0"/>
    <w:rsid w:val="004719C3"/>
    <w:rsid w:val="00472986"/>
    <w:rsid w:val="0047340C"/>
    <w:rsid w:val="004770A2"/>
    <w:rsid w:val="00481724"/>
    <w:rsid w:val="004846DF"/>
    <w:rsid w:val="00485FEE"/>
    <w:rsid w:val="00491614"/>
    <w:rsid w:val="00492A8C"/>
    <w:rsid w:val="004A0F54"/>
    <w:rsid w:val="004A382B"/>
    <w:rsid w:val="004A3A5C"/>
    <w:rsid w:val="004A6536"/>
    <w:rsid w:val="004B0D84"/>
    <w:rsid w:val="004B170C"/>
    <w:rsid w:val="004B3C9D"/>
    <w:rsid w:val="004B4AD7"/>
    <w:rsid w:val="004B4B81"/>
    <w:rsid w:val="004B6C24"/>
    <w:rsid w:val="004C2104"/>
    <w:rsid w:val="004C4541"/>
    <w:rsid w:val="004C5CF6"/>
    <w:rsid w:val="004C6047"/>
    <w:rsid w:val="004C7653"/>
    <w:rsid w:val="004D01F1"/>
    <w:rsid w:val="004D343F"/>
    <w:rsid w:val="004E0FFE"/>
    <w:rsid w:val="004E272B"/>
    <w:rsid w:val="004E74FC"/>
    <w:rsid w:val="004F2F72"/>
    <w:rsid w:val="004F7A55"/>
    <w:rsid w:val="005113C4"/>
    <w:rsid w:val="00511D1E"/>
    <w:rsid w:val="00512092"/>
    <w:rsid w:val="005147BE"/>
    <w:rsid w:val="00514D79"/>
    <w:rsid w:val="005156FC"/>
    <w:rsid w:val="00527F7F"/>
    <w:rsid w:val="00530106"/>
    <w:rsid w:val="0053036C"/>
    <w:rsid w:val="00541530"/>
    <w:rsid w:val="00543B23"/>
    <w:rsid w:val="00544C41"/>
    <w:rsid w:val="00545CF6"/>
    <w:rsid w:val="005461A4"/>
    <w:rsid w:val="00547AEC"/>
    <w:rsid w:val="00553C33"/>
    <w:rsid w:val="00553D4F"/>
    <w:rsid w:val="00560BCF"/>
    <w:rsid w:val="00570FEA"/>
    <w:rsid w:val="00576F6A"/>
    <w:rsid w:val="0058436C"/>
    <w:rsid w:val="005860EC"/>
    <w:rsid w:val="005865EC"/>
    <w:rsid w:val="00587138"/>
    <w:rsid w:val="00593312"/>
    <w:rsid w:val="005945E9"/>
    <w:rsid w:val="00597FCE"/>
    <w:rsid w:val="005A12D6"/>
    <w:rsid w:val="005A4B54"/>
    <w:rsid w:val="005A5CAE"/>
    <w:rsid w:val="005A603F"/>
    <w:rsid w:val="005A6B95"/>
    <w:rsid w:val="005B317E"/>
    <w:rsid w:val="005C120B"/>
    <w:rsid w:val="005C184B"/>
    <w:rsid w:val="005C1C70"/>
    <w:rsid w:val="005D1DAA"/>
    <w:rsid w:val="005E2ACC"/>
    <w:rsid w:val="005E3352"/>
    <w:rsid w:val="005E42AB"/>
    <w:rsid w:val="005E4AA8"/>
    <w:rsid w:val="005F161A"/>
    <w:rsid w:val="005F2EF4"/>
    <w:rsid w:val="005F77BB"/>
    <w:rsid w:val="005F7F5E"/>
    <w:rsid w:val="00601748"/>
    <w:rsid w:val="00610B17"/>
    <w:rsid w:val="006138D2"/>
    <w:rsid w:val="00613962"/>
    <w:rsid w:val="006165A6"/>
    <w:rsid w:val="00617195"/>
    <w:rsid w:val="00620393"/>
    <w:rsid w:val="00621263"/>
    <w:rsid w:val="006237EB"/>
    <w:rsid w:val="00625CD0"/>
    <w:rsid w:val="006317C5"/>
    <w:rsid w:val="00632240"/>
    <w:rsid w:val="006332A2"/>
    <w:rsid w:val="00633989"/>
    <w:rsid w:val="006372F4"/>
    <w:rsid w:val="00643839"/>
    <w:rsid w:val="00644B6B"/>
    <w:rsid w:val="00651EBC"/>
    <w:rsid w:val="00656E72"/>
    <w:rsid w:val="0066062E"/>
    <w:rsid w:val="00660C80"/>
    <w:rsid w:val="006633FD"/>
    <w:rsid w:val="006655BB"/>
    <w:rsid w:val="00667EEF"/>
    <w:rsid w:val="00672DA4"/>
    <w:rsid w:val="00673DE7"/>
    <w:rsid w:val="006751FD"/>
    <w:rsid w:val="006800B8"/>
    <w:rsid w:val="006805FD"/>
    <w:rsid w:val="006825AF"/>
    <w:rsid w:val="00683789"/>
    <w:rsid w:val="0068650D"/>
    <w:rsid w:val="00690F73"/>
    <w:rsid w:val="006A114E"/>
    <w:rsid w:val="006B0901"/>
    <w:rsid w:val="006C4414"/>
    <w:rsid w:val="006C559D"/>
    <w:rsid w:val="006C58C6"/>
    <w:rsid w:val="006C6382"/>
    <w:rsid w:val="006C6A32"/>
    <w:rsid w:val="006D4C63"/>
    <w:rsid w:val="006D5C37"/>
    <w:rsid w:val="006E7B7E"/>
    <w:rsid w:val="006F2921"/>
    <w:rsid w:val="006F4B00"/>
    <w:rsid w:val="006F57D1"/>
    <w:rsid w:val="006F6660"/>
    <w:rsid w:val="0070264C"/>
    <w:rsid w:val="0071752E"/>
    <w:rsid w:val="00717C15"/>
    <w:rsid w:val="00717EA4"/>
    <w:rsid w:val="00717EA7"/>
    <w:rsid w:val="0072153C"/>
    <w:rsid w:val="00722DCD"/>
    <w:rsid w:val="00724D10"/>
    <w:rsid w:val="007264A6"/>
    <w:rsid w:val="00726E04"/>
    <w:rsid w:val="007301A0"/>
    <w:rsid w:val="00744384"/>
    <w:rsid w:val="007447F9"/>
    <w:rsid w:val="00750F9A"/>
    <w:rsid w:val="00755C61"/>
    <w:rsid w:val="007570DA"/>
    <w:rsid w:val="00761F33"/>
    <w:rsid w:val="00765E1E"/>
    <w:rsid w:val="007739E7"/>
    <w:rsid w:val="00773A93"/>
    <w:rsid w:val="00775C35"/>
    <w:rsid w:val="00776114"/>
    <w:rsid w:val="00777349"/>
    <w:rsid w:val="0078062B"/>
    <w:rsid w:val="00791765"/>
    <w:rsid w:val="00791ADE"/>
    <w:rsid w:val="00791D5E"/>
    <w:rsid w:val="00794A72"/>
    <w:rsid w:val="00795FCD"/>
    <w:rsid w:val="007A2759"/>
    <w:rsid w:val="007A593C"/>
    <w:rsid w:val="007A72C4"/>
    <w:rsid w:val="007B05CC"/>
    <w:rsid w:val="007B1146"/>
    <w:rsid w:val="007B4759"/>
    <w:rsid w:val="007B77A9"/>
    <w:rsid w:val="007C0B83"/>
    <w:rsid w:val="007C0CCA"/>
    <w:rsid w:val="007C6DA4"/>
    <w:rsid w:val="007D062F"/>
    <w:rsid w:val="007D0E86"/>
    <w:rsid w:val="007D65B2"/>
    <w:rsid w:val="007E1502"/>
    <w:rsid w:val="007E5C79"/>
    <w:rsid w:val="007E65D8"/>
    <w:rsid w:val="007F08A2"/>
    <w:rsid w:val="007F52A2"/>
    <w:rsid w:val="007F5B01"/>
    <w:rsid w:val="007F6E07"/>
    <w:rsid w:val="007F72E5"/>
    <w:rsid w:val="007F7AE4"/>
    <w:rsid w:val="00803BA1"/>
    <w:rsid w:val="00803C51"/>
    <w:rsid w:val="00805AE6"/>
    <w:rsid w:val="00806C8B"/>
    <w:rsid w:val="008120F8"/>
    <w:rsid w:val="00812BEF"/>
    <w:rsid w:val="008232F0"/>
    <w:rsid w:val="00824293"/>
    <w:rsid w:val="00830726"/>
    <w:rsid w:val="008307BE"/>
    <w:rsid w:val="008325EC"/>
    <w:rsid w:val="008326C9"/>
    <w:rsid w:val="00836970"/>
    <w:rsid w:val="008373F8"/>
    <w:rsid w:val="00842121"/>
    <w:rsid w:val="00846A59"/>
    <w:rsid w:val="00853817"/>
    <w:rsid w:val="008542AE"/>
    <w:rsid w:val="00855970"/>
    <w:rsid w:val="0085620D"/>
    <w:rsid w:val="00857562"/>
    <w:rsid w:val="00876AF9"/>
    <w:rsid w:val="00877A51"/>
    <w:rsid w:val="00881D12"/>
    <w:rsid w:val="00881E17"/>
    <w:rsid w:val="00887ADC"/>
    <w:rsid w:val="00892D43"/>
    <w:rsid w:val="00894E52"/>
    <w:rsid w:val="008A2BBA"/>
    <w:rsid w:val="008A4154"/>
    <w:rsid w:val="008A567E"/>
    <w:rsid w:val="008B49AB"/>
    <w:rsid w:val="008C0CB9"/>
    <w:rsid w:val="008C34FA"/>
    <w:rsid w:val="008C4C3D"/>
    <w:rsid w:val="008C59FB"/>
    <w:rsid w:val="008D0494"/>
    <w:rsid w:val="008D10CF"/>
    <w:rsid w:val="008D20E1"/>
    <w:rsid w:val="008D37A5"/>
    <w:rsid w:val="008D42D6"/>
    <w:rsid w:val="008E0AB4"/>
    <w:rsid w:val="008E2CC3"/>
    <w:rsid w:val="008F251D"/>
    <w:rsid w:val="008F4E85"/>
    <w:rsid w:val="00900E0C"/>
    <w:rsid w:val="0090236A"/>
    <w:rsid w:val="009042EF"/>
    <w:rsid w:val="00910221"/>
    <w:rsid w:val="00912245"/>
    <w:rsid w:val="009149F8"/>
    <w:rsid w:val="0091569E"/>
    <w:rsid w:val="00915CF0"/>
    <w:rsid w:val="00917EF8"/>
    <w:rsid w:val="00920153"/>
    <w:rsid w:val="00925528"/>
    <w:rsid w:val="009264AF"/>
    <w:rsid w:val="00926722"/>
    <w:rsid w:val="00936CDA"/>
    <w:rsid w:val="00937243"/>
    <w:rsid w:val="0095290E"/>
    <w:rsid w:val="00955404"/>
    <w:rsid w:val="00956248"/>
    <w:rsid w:val="00956574"/>
    <w:rsid w:val="009602F3"/>
    <w:rsid w:val="00961A0E"/>
    <w:rsid w:val="00962E12"/>
    <w:rsid w:val="00972932"/>
    <w:rsid w:val="0097779C"/>
    <w:rsid w:val="009830FA"/>
    <w:rsid w:val="00985236"/>
    <w:rsid w:val="009912AB"/>
    <w:rsid w:val="00991860"/>
    <w:rsid w:val="00994BF5"/>
    <w:rsid w:val="009962C9"/>
    <w:rsid w:val="00996DC6"/>
    <w:rsid w:val="009A243B"/>
    <w:rsid w:val="009A2F26"/>
    <w:rsid w:val="009A36AA"/>
    <w:rsid w:val="009C29CB"/>
    <w:rsid w:val="009D3CE4"/>
    <w:rsid w:val="009D59D9"/>
    <w:rsid w:val="009D759B"/>
    <w:rsid w:val="009E1FC4"/>
    <w:rsid w:val="009E25C1"/>
    <w:rsid w:val="009E37E8"/>
    <w:rsid w:val="009E3A91"/>
    <w:rsid w:val="009E5901"/>
    <w:rsid w:val="009E71FA"/>
    <w:rsid w:val="009E7675"/>
    <w:rsid w:val="009F230C"/>
    <w:rsid w:val="009F2DD0"/>
    <w:rsid w:val="009F539E"/>
    <w:rsid w:val="00A01677"/>
    <w:rsid w:val="00A03D3C"/>
    <w:rsid w:val="00A12459"/>
    <w:rsid w:val="00A12FD7"/>
    <w:rsid w:val="00A23C1F"/>
    <w:rsid w:val="00A24030"/>
    <w:rsid w:val="00A31200"/>
    <w:rsid w:val="00A44606"/>
    <w:rsid w:val="00A46757"/>
    <w:rsid w:val="00A46A73"/>
    <w:rsid w:val="00A50C5C"/>
    <w:rsid w:val="00A534B0"/>
    <w:rsid w:val="00A57B15"/>
    <w:rsid w:val="00A635BB"/>
    <w:rsid w:val="00A75CDE"/>
    <w:rsid w:val="00A77202"/>
    <w:rsid w:val="00A77B05"/>
    <w:rsid w:val="00A8079B"/>
    <w:rsid w:val="00A80987"/>
    <w:rsid w:val="00A8290D"/>
    <w:rsid w:val="00A90BF0"/>
    <w:rsid w:val="00A90DA1"/>
    <w:rsid w:val="00A92DCB"/>
    <w:rsid w:val="00AA22DF"/>
    <w:rsid w:val="00AA39C9"/>
    <w:rsid w:val="00AA5795"/>
    <w:rsid w:val="00AA6222"/>
    <w:rsid w:val="00AB1C97"/>
    <w:rsid w:val="00AB3079"/>
    <w:rsid w:val="00AB3587"/>
    <w:rsid w:val="00AB5753"/>
    <w:rsid w:val="00AB7234"/>
    <w:rsid w:val="00AB7E01"/>
    <w:rsid w:val="00AC1B07"/>
    <w:rsid w:val="00AC5D96"/>
    <w:rsid w:val="00AC62D9"/>
    <w:rsid w:val="00AC7A56"/>
    <w:rsid w:val="00AD3FC1"/>
    <w:rsid w:val="00AD506C"/>
    <w:rsid w:val="00AD60F1"/>
    <w:rsid w:val="00AD7BC5"/>
    <w:rsid w:val="00AF063A"/>
    <w:rsid w:val="00B002BC"/>
    <w:rsid w:val="00B045D8"/>
    <w:rsid w:val="00B06C60"/>
    <w:rsid w:val="00B22A5A"/>
    <w:rsid w:val="00B24869"/>
    <w:rsid w:val="00B32A8F"/>
    <w:rsid w:val="00B348C0"/>
    <w:rsid w:val="00B37F6E"/>
    <w:rsid w:val="00B404D8"/>
    <w:rsid w:val="00B421CE"/>
    <w:rsid w:val="00B47CC1"/>
    <w:rsid w:val="00B50EC3"/>
    <w:rsid w:val="00B516D5"/>
    <w:rsid w:val="00B53A3D"/>
    <w:rsid w:val="00B567BE"/>
    <w:rsid w:val="00B574BF"/>
    <w:rsid w:val="00B61D4B"/>
    <w:rsid w:val="00B630C4"/>
    <w:rsid w:val="00B64718"/>
    <w:rsid w:val="00B66FDF"/>
    <w:rsid w:val="00B674A2"/>
    <w:rsid w:val="00B7767B"/>
    <w:rsid w:val="00B87130"/>
    <w:rsid w:val="00BA1791"/>
    <w:rsid w:val="00BA2F9D"/>
    <w:rsid w:val="00BA4F7A"/>
    <w:rsid w:val="00BA5987"/>
    <w:rsid w:val="00BA767C"/>
    <w:rsid w:val="00BB2D53"/>
    <w:rsid w:val="00BB416B"/>
    <w:rsid w:val="00BB43D9"/>
    <w:rsid w:val="00BB7576"/>
    <w:rsid w:val="00BB7942"/>
    <w:rsid w:val="00BC0386"/>
    <w:rsid w:val="00BC1601"/>
    <w:rsid w:val="00BC51DA"/>
    <w:rsid w:val="00BD2FB4"/>
    <w:rsid w:val="00BD65F9"/>
    <w:rsid w:val="00BE3362"/>
    <w:rsid w:val="00BE33C0"/>
    <w:rsid w:val="00BE533A"/>
    <w:rsid w:val="00BF620F"/>
    <w:rsid w:val="00BF6BD8"/>
    <w:rsid w:val="00C00D87"/>
    <w:rsid w:val="00C122B5"/>
    <w:rsid w:val="00C13E09"/>
    <w:rsid w:val="00C219DE"/>
    <w:rsid w:val="00C221A8"/>
    <w:rsid w:val="00C250FE"/>
    <w:rsid w:val="00C260C3"/>
    <w:rsid w:val="00C2684A"/>
    <w:rsid w:val="00C26FB0"/>
    <w:rsid w:val="00C333E9"/>
    <w:rsid w:val="00C34903"/>
    <w:rsid w:val="00C37F1A"/>
    <w:rsid w:val="00C467DD"/>
    <w:rsid w:val="00C4793F"/>
    <w:rsid w:val="00C5075D"/>
    <w:rsid w:val="00C531E5"/>
    <w:rsid w:val="00C55BAF"/>
    <w:rsid w:val="00C5741C"/>
    <w:rsid w:val="00C5781A"/>
    <w:rsid w:val="00C60319"/>
    <w:rsid w:val="00C64CEB"/>
    <w:rsid w:val="00C75A20"/>
    <w:rsid w:val="00C77413"/>
    <w:rsid w:val="00C80DF5"/>
    <w:rsid w:val="00C84508"/>
    <w:rsid w:val="00C91AF5"/>
    <w:rsid w:val="00C92E37"/>
    <w:rsid w:val="00CA3FD8"/>
    <w:rsid w:val="00CB1FEF"/>
    <w:rsid w:val="00CB2A9C"/>
    <w:rsid w:val="00CB4CDD"/>
    <w:rsid w:val="00CC15DC"/>
    <w:rsid w:val="00CC6FF0"/>
    <w:rsid w:val="00CD0464"/>
    <w:rsid w:val="00CD1371"/>
    <w:rsid w:val="00CD18A8"/>
    <w:rsid w:val="00CD6251"/>
    <w:rsid w:val="00CE11A7"/>
    <w:rsid w:val="00CE19D8"/>
    <w:rsid w:val="00CE1C40"/>
    <w:rsid w:val="00CE3C86"/>
    <w:rsid w:val="00CE445A"/>
    <w:rsid w:val="00CE4745"/>
    <w:rsid w:val="00CE55B9"/>
    <w:rsid w:val="00CE7785"/>
    <w:rsid w:val="00CE7ADF"/>
    <w:rsid w:val="00CF08AA"/>
    <w:rsid w:val="00CF32CE"/>
    <w:rsid w:val="00CF362E"/>
    <w:rsid w:val="00D00374"/>
    <w:rsid w:val="00D009BE"/>
    <w:rsid w:val="00D025FD"/>
    <w:rsid w:val="00D1151E"/>
    <w:rsid w:val="00D2605E"/>
    <w:rsid w:val="00D3118B"/>
    <w:rsid w:val="00D31F42"/>
    <w:rsid w:val="00D32E87"/>
    <w:rsid w:val="00D423E7"/>
    <w:rsid w:val="00D42E3F"/>
    <w:rsid w:val="00D42FFC"/>
    <w:rsid w:val="00D43E62"/>
    <w:rsid w:val="00D4542C"/>
    <w:rsid w:val="00D509D1"/>
    <w:rsid w:val="00D56A09"/>
    <w:rsid w:val="00D64424"/>
    <w:rsid w:val="00D64CBA"/>
    <w:rsid w:val="00D64E1B"/>
    <w:rsid w:val="00D7323F"/>
    <w:rsid w:val="00D7705E"/>
    <w:rsid w:val="00D85A71"/>
    <w:rsid w:val="00D917FA"/>
    <w:rsid w:val="00D9678E"/>
    <w:rsid w:val="00DA35ED"/>
    <w:rsid w:val="00DA5FAA"/>
    <w:rsid w:val="00DC0110"/>
    <w:rsid w:val="00DC28D7"/>
    <w:rsid w:val="00DD04D0"/>
    <w:rsid w:val="00DD0A1F"/>
    <w:rsid w:val="00DD2F24"/>
    <w:rsid w:val="00DD5D79"/>
    <w:rsid w:val="00DE2C7B"/>
    <w:rsid w:val="00DE3426"/>
    <w:rsid w:val="00DE6B0B"/>
    <w:rsid w:val="00DE7F25"/>
    <w:rsid w:val="00DF19B6"/>
    <w:rsid w:val="00DF3179"/>
    <w:rsid w:val="00E02F45"/>
    <w:rsid w:val="00E06881"/>
    <w:rsid w:val="00E07E65"/>
    <w:rsid w:val="00E14135"/>
    <w:rsid w:val="00E142C4"/>
    <w:rsid w:val="00E16537"/>
    <w:rsid w:val="00E174F6"/>
    <w:rsid w:val="00E20746"/>
    <w:rsid w:val="00E236C9"/>
    <w:rsid w:val="00E32F3A"/>
    <w:rsid w:val="00E32FAC"/>
    <w:rsid w:val="00E35BB9"/>
    <w:rsid w:val="00E36ADB"/>
    <w:rsid w:val="00E37052"/>
    <w:rsid w:val="00E4037D"/>
    <w:rsid w:val="00E5567B"/>
    <w:rsid w:val="00E55F6F"/>
    <w:rsid w:val="00E562DB"/>
    <w:rsid w:val="00E63CC0"/>
    <w:rsid w:val="00E64872"/>
    <w:rsid w:val="00E64FAE"/>
    <w:rsid w:val="00E67191"/>
    <w:rsid w:val="00E679E0"/>
    <w:rsid w:val="00E70423"/>
    <w:rsid w:val="00E72916"/>
    <w:rsid w:val="00E73BEB"/>
    <w:rsid w:val="00E819FA"/>
    <w:rsid w:val="00E83313"/>
    <w:rsid w:val="00E85548"/>
    <w:rsid w:val="00E87223"/>
    <w:rsid w:val="00E92BC6"/>
    <w:rsid w:val="00EA0F0A"/>
    <w:rsid w:val="00EA2F8E"/>
    <w:rsid w:val="00EA43A6"/>
    <w:rsid w:val="00EA6D04"/>
    <w:rsid w:val="00EB1279"/>
    <w:rsid w:val="00EB1EA9"/>
    <w:rsid w:val="00EB3F26"/>
    <w:rsid w:val="00EB4DBF"/>
    <w:rsid w:val="00EB4E1F"/>
    <w:rsid w:val="00EC0DB6"/>
    <w:rsid w:val="00EC5876"/>
    <w:rsid w:val="00EC6697"/>
    <w:rsid w:val="00EC69F7"/>
    <w:rsid w:val="00ED1EB2"/>
    <w:rsid w:val="00EE3D4E"/>
    <w:rsid w:val="00EE4A20"/>
    <w:rsid w:val="00EE78BA"/>
    <w:rsid w:val="00EF619D"/>
    <w:rsid w:val="00EF6483"/>
    <w:rsid w:val="00F00A7E"/>
    <w:rsid w:val="00F02143"/>
    <w:rsid w:val="00F021AC"/>
    <w:rsid w:val="00F07AC4"/>
    <w:rsid w:val="00F15C51"/>
    <w:rsid w:val="00F20419"/>
    <w:rsid w:val="00F2080F"/>
    <w:rsid w:val="00F22A99"/>
    <w:rsid w:val="00F2586F"/>
    <w:rsid w:val="00F27A60"/>
    <w:rsid w:val="00F37BFF"/>
    <w:rsid w:val="00F43F3A"/>
    <w:rsid w:val="00F51F63"/>
    <w:rsid w:val="00F52E92"/>
    <w:rsid w:val="00F54542"/>
    <w:rsid w:val="00F548E7"/>
    <w:rsid w:val="00F57387"/>
    <w:rsid w:val="00F60F28"/>
    <w:rsid w:val="00F62C3F"/>
    <w:rsid w:val="00F63CF5"/>
    <w:rsid w:val="00F64FF2"/>
    <w:rsid w:val="00F65C56"/>
    <w:rsid w:val="00F66F81"/>
    <w:rsid w:val="00F7030E"/>
    <w:rsid w:val="00F7112D"/>
    <w:rsid w:val="00F816B8"/>
    <w:rsid w:val="00F857B6"/>
    <w:rsid w:val="00F87036"/>
    <w:rsid w:val="00F91E8D"/>
    <w:rsid w:val="00F97ABA"/>
    <w:rsid w:val="00F97BAF"/>
    <w:rsid w:val="00FA3FEA"/>
    <w:rsid w:val="00FA53E7"/>
    <w:rsid w:val="00FB3D79"/>
    <w:rsid w:val="00FC0759"/>
    <w:rsid w:val="00FC139D"/>
    <w:rsid w:val="00FC3A11"/>
    <w:rsid w:val="00FC7AD5"/>
    <w:rsid w:val="00FD41A3"/>
    <w:rsid w:val="00FD4327"/>
    <w:rsid w:val="00FD553D"/>
    <w:rsid w:val="00FD7C48"/>
    <w:rsid w:val="00FE21CA"/>
    <w:rsid w:val="00FE2F07"/>
    <w:rsid w:val="00FE7E9E"/>
    <w:rsid w:val="00FF69D1"/>
    <w:rsid w:val="02C24BF1"/>
    <w:rsid w:val="04675A50"/>
    <w:rsid w:val="08966904"/>
    <w:rsid w:val="09000221"/>
    <w:rsid w:val="0BB2614A"/>
    <w:rsid w:val="0DCD726B"/>
    <w:rsid w:val="0F59068B"/>
    <w:rsid w:val="10A44651"/>
    <w:rsid w:val="115B06EA"/>
    <w:rsid w:val="11C47712"/>
    <w:rsid w:val="122338FE"/>
    <w:rsid w:val="1CF77E61"/>
    <w:rsid w:val="1E4C1AE7"/>
    <w:rsid w:val="1EAB7F41"/>
    <w:rsid w:val="1FC14756"/>
    <w:rsid w:val="224A458F"/>
    <w:rsid w:val="23D5257E"/>
    <w:rsid w:val="23D5432C"/>
    <w:rsid w:val="2432352D"/>
    <w:rsid w:val="24BB5C18"/>
    <w:rsid w:val="258B6B7F"/>
    <w:rsid w:val="27152C75"/>
    <w:rsid w:val="28810F26"/>
    <w:rsid w:val="2A44045E"/>
    <w:rsid w:val="2BEA293F"/>
    <w:rsid w:val="2DBF0527"/>
    <w:rsid w:val="2EDC2A13"/>
    <w:rsid w:val="31EB11BF"/>
    <w:rsid w:val="33185FE3"/>
    <w:rsid w:val="355E6877"/>
    <w:rsid w:val="37602A7B"/>
    <w:rsid w:val="38EF759E"/>
    <w:rsid w:val="3CEF24AB"/>
    <w:rsid w:val="3D2959BD"/>
    <w:rsid w:val="3DE9514C"/>
    <w:rsid w:val="418807D8"/>
    <w:rsid w:val="43171E14"/>
    <w:rsid w:val="43DE2931"/>
    <w:rsid w:val="44A34A52"/>
    <w:rsid w:val="457C2402"/>
    <w:rsid w:val="48217291"/>
    <w:rsid w:val="483416BA"/>
    <w:rsid w:val="488732EA"/>
    <w:rsid w:val="4A5D4EF8"/>
    <w:rsid w:val="4E1B4818"/>
    <w:rsid w:val="4EC15329"/>
    <w:rsid w:val="51121E6C"/>
    <w:rsid w:val="52911BE2"/>
    <w:rsid w:val="52B0193D"/>
    <w:rsid w:val="52D7511B"/>
    <w:rsid w:val="55627866"/>
    <w:rsid w:val="577949F3"/>
    <w:rsid w:val="58C425E6"/>
    <w:rsid w:val="5BB57FC4"/>
    <w:rsid w:val="5E6D4B86"/>
    <w:rsid w:val="5FC86518"/>
    <w:rsid w:val="604B21FE"/>
    <w:rsid w:val="622540F5"/>
    <w:rsid w:val="637D1D0F"/>
    <w:rsid w:val="66407DEE"/>
    <w:rsid w:val="67AF7FBD"/>
    <w:rsid w:val="6A6634FD"/>
    <w:rsid w:val="6BA811AC"/>
    <w:rsid w:val="6C0703C8"/>
    <w:rsid w:val="6ED8604B"/>
    <w:rsid w:val="71125845"/>
    <w:rsid w:val="7189187F"/>
    <w:rsid w:val="75530B22"/>
    <w:rsid w:val="76377AFB"/>
    <w:rsid w:val="76F105F2"/>
    <w:rsid w:val="788F00C3"/>
    <w:rsid w:val="78B74F24"/>
    <w:rsid w:val="79420C91"/>
    <w:rsid w:val="7B474C85"/>
    <w:rsid w:val="7EDB5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4754"/>
  <w15:docId w15:val="{7ABE0010-3215-420F-BE77-7FC02F1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hAnsi="Calibri"/>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qFormat/>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a">
    <w:name w:val="页眉 字符"/>
    <w:basedOn w:val="a0"/>
    <w:link w:val="a9"/>
    <w:uiPriority w:val="99"/>
    <w:qFormat/>
    <w:rPr>
      <w:rFonts w:ascii="Calibri" w:eastAsia="宋体" w:hAnsi="Calibri" w:cs="Times New Roman"/>
      <w:kern w:val="1"/>
      <w:sz w:val="18"/>
      <w:szCs w:val="18"/>
    </w:rPr>
  </w:style>
  <w:style w:type="character" w:customStyle="1" w:styleId="a8">
    <w:name w:val="页脚 字符"/>
    <w:basedOn w:val="a0"/>
    <w:link w:val="a7"/>
    <w:uiPriority w:val="99"/>
    <w:qFormat/>
    <w:rPr>
      <w:rFonts w:ascii="Calibri" w:eastAsia="宋体" w:hAnsi="Calibri" w:cs="Times New Roman"/>
      <w:kern w:val="1"/>
      <w:sz w:val="18"/>
      <w:szCs w:val="18"/>
    </w:rPr>
  </w:style>
  <w:style w:type="paragraph" w:styleId="af0">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hAnsi="Calibri"/>
      <w:kern w:val="1"/>
      <w:sz w:val="21"/>
      <w:szCs w:val="22"/>
    </w:rPr>
  </w:style>
  <w:style w:type="character" w:customStyle="1" w:styleId="apple-converted-space">
    <w:name w:val="apple-converted-space"/>
    <w:basedOn w:val="a0"/>
    <w:qFormat/>
  </w:style>
  <w:style w:type="paragraph" w:styleId="af1">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 New Roman" w:hAnsi="Times New Roman" w:cs="Times New Roman" w:hint="default"/>
      <w:color w:val="000000"/>
      <w:sz w:val="24"/>
      <w:szCs w:val="24"/>
    </w:rPr>
  </w:style>
  <w:style w:type="character" w:customStyle="1" w:styleId="11">
    <w:name w:val="未处理的提及1"/>
    <w:basedOn w:val="a0"/>
    <w:uiPriority w:val="99"/>
    <w:semiHidden/>
    <w:unhideWhenUsed/>
    <w:qFormat/>
    <w:rPr>
      <w:color w:val="605E5C"/>
      <w:shd w:val="clear" w:color="auto" w:fill="E1DFDD"/>
    </w:rPr>
  </w:style>
  <w:style w:type="paragraph" w:styleId="af2">
    <w:name w:val="Body Text Indent"/>
    <w:basedOn w:val="a"/>
    <w:link w:val="af3"/>
    <w:uiPriority w:val="99"/>
    <w:unhideWhenUsed/>
    <w:rsid w:val="00BE533A"/>
    <w:pPr>
      <w:pBdr>
        <w:top w:val="none" w:sz="0" w:space="0" w:color="auto"/>
        <w:left w:val="none" w:sz="0" w:space="0" w:color="auto"/>
        <w:bottom w:val="none" w:sz="0" w:space="0" w:color="auto"/>
        <w:right w:val="none" w:sz="0" w:space="0" w:color="auto"/>
        <w:between w:val="none" w:sz="0" w:space="0" w:color="auto"/>
      </w:pBdr>
      <w:ind w:left="844"/>
    </w:pPr>
    <w:rPr>
      <w:rFonts w:ascii="Times New Roman" w:eastAsia="仿宋_GB2312" w:hAnsi="Times New Roman"/>
      <w:kern w:val="2"/>
      <w:sz w:val="32"/>
      <w:szCs w:val="20"/>
    </w:rPr>
  </w:style>
  <w:style w:type="character" w:customStyle="1" w:styleId="af3">
    <w:name w:val="正文文本缩进 字符"/>
    <w:basedOn w:val="a0"/>
    <w:link w:val="af2"/>
    <w:uiPriority w:val="99"/>
    <w:rsid w:val="00BE533A"/>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39430">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496919768">
          <w:marLeft w:val="0"/>
          <w:marRight w:val="0"/>
          <w:marTop w:val="0"/>
          <w:marBottom w:val="0"/>
          <w:divBdr>
            <w:top w:val="none" w:sz="0" w:space="0" w:color="auto"/>
            <w:left w:val="none" w:sz="0" w:space="0" w:color="auto"/>
            <w:bottom w:val="none" w:sz="0" w:space="0" w:color="auto"/>
            <w:right w:val="none" w:sz="0" w:space="0" w:color="auto"/>
          </w:divBdr>
        </w:div>
        <w:div w:id="1644657426">
          <w:marLeft w:val="0"/>
          <w:marRight w:val="0"/>
          <w:marTop w:val="0"/>
          <w:marBottom w:val="0"/>
          <w:divBdr>
            <w:top w:val="none" w:sz="0" w:space="0" w:color="auto"/>
            <w:left w:val="none" w:sz="0" w:space="0" w:color="auto"/>
            <w:bottom w:val="none" w:sz="0" w:space="0" w:color="auto"/>
            <w:right w:val="none" w:sz="0" w:space="0" w:color="auto"/>
          </w:divBdr>
        </w:div>
        <w:div w:id="2123376973">
          <w:marLeft w:val="0"/>
          <w:marRight w:val="0"/>
          <w:marTop w:val="0"/>
          <w:marBottom w:val="0"/>
          <w:divBdr>
            <w:top w:val="none" w:sz="0" w:space="0" w:color="auto"/>
            <w:left w:val="none" w:sz="0" w:space="0" w:color="auto"/>
            <w:bottom w:val="none" w:sz="0" w:space="0" w:color="auto"/>
            <w:right w:val="none" w:sz="0" w:space="0" w:color="auto"/>
          </w:divBdr>
        </w:div>
        <w:div w:id="103041315">
          <w:marLeft w:val="0"/>
          <w:marRight w:val="0"/>
          <w:marTop w:val="0"/>
          <w:marBottom w:val="0"/>
          <w:divBdr>
            <w:top w:val="none" w:sz="0" w:space="0" w:color="auto"/>
            <w:left w:val="none" w:sz="0" w:space="0" w:color="auto"/>
            <w:bottom w:val="none" w:sz="0" w:space="0" w:color="auto"/>
            <w:right w:val="none" w:sz="0" w:space="0" w:color="auto"/>
          </w:divBdr>
        </w:div>
        <w:div w:id="1774593029">
          <w:marLeft w:val="0"/>
          <w:marRight w:val="0"/>
          <w:marTop w:val="0"/>
          <w:marBottom w:val="0"/>
          <w:divBdr>
            <w:top w:val="none" w:sz="0" w:space="0" w:color="auto"/>
            <w:left w:val="none" w:sz="0" w:space="0" w:color="auto"/>
            <w:bottom w:val="none" w:sz="0" w:space="0" w:color="auto"/>
            <w:right w:val="none" w:sz="0" w:space="0" w:color="auto"/>
          </w:divBdr>
        </w:div>
        <w:div w:id="2012371762">
          <w:marLeft w:val="0"/>
          <w:marRight w:val="0"/>
          <w:marTop w:val="0"/>
          <w:marBottom w:val="0"/>
          <w:divBdr>
            <w:top w:val="none" w:sz="0" w:space="0" w:color="auto"/>
            <w:left w:val="none" w:sz="0" w:space="0" w:color="auto"/>
            <w:bottom w:val="none" w:sz="0" w:space="0" w:color="auto"/>
            <w:right w:val="none" w:sz="0" w:space="0" w:color="auto"/>
          </w:divBdr>
        </w:div>
        <w:div w:id="812991078">
          <w:marLeft w:val="0"/>
          <w:marRight w:val="0"/>
          <w:marTop w:val="0"/>
          <w:marBottom w:val="0"/>
          <w:divBdr>
            <w:top w:val="none" w:sz="0" w:space="0" w:color="auto"/>
            <w:left w:val="none" w:sz="0" w:space="0" w:color="auto"/>
            <w:bottom w:val="none" w:sz="0" w:space="0" w:color="auto"/>
            <w:right w:val="none" w:sz="0" w:space="0" w:color="auto"/>
          </w:divBdr>
        </w:div>
        <w:div w:id="1678654290">
          <w:marLeft w:val="0"/>
          <w:marRight w:val="0"/>
          <w:marTop w:val="0"/>
          <w:marBottom w:val="0"/>
          <w:divBdr>
            <w:top w:val="none" w:sz="0" w:space="0" w:color="auto"/>
            <w:left w:val="none" w:sz="0" w:space="0" w:color="auto"/>
            <w:bottom w:val="none" w:sz="0" w:space="0" w:color="auto"/>
            <w:right w:val="none" w:sz="0" w:space="0" w:color="auto"/>
          </w:divBdr>
        </w:div>
        <w:div w:id="1322389398">
          <w:marLeft w:val="0"/>
          <w:marRight w:val="0"/>
          <w:marTop w:val="0"/>
          <w:marBottom w:val="0"/>
          <w:divBdr>
            <w:top w:val="none" w:sz="0" w:space="0" w:color="auto"/>
            <w:left w:val="none" w:sz="0" w:space="0" w:color="auto"/>
            <w:bottom w:val="none" w:sz="0" w:space="0" w:color="auto"/>
            <w:right w:val="none" w:sz="0" w:space="0" w:color="auto"/>
          </w:divBdr>
        </w:div>
        <w:div w:id="12149359">
          <w:marLeft w:val="0"/>
          <w:marRight w:val="0"/>
          <w:marTop w:val="0"/>
          <w:marBottom w:val="0"/>
          <w:divBdr>
            <w:top w:val="none" w:sz="0" w:space="0" w:color="auto"/>
            <w:left w:val="none" w:sz="0" w:space="0" w:color="auto"/>
            <w:bottom w:val="none" w:sz="0" w:space="0" w:color="auto"/>
            <w:right w:val="none" w:sz="0" w:space="0" w:color="auto"/>
          </w:divBdr>
        </w:div>
        <w:div w:id="1573809051">
          <w:marLeft w:val="0"/>
          <w:marRight w:val="0"/>
          <w:marTop w:val="0"/>
          <w:marBottom w:val="0"/>
          <w:divBdr>
            <w:top w:val="none" w:sz="0" w:space="0" w:color="auto"/>
            <w:left w:val="none" w:sz="0" w:space="0" w:color="auto"/>
            <w:bottom w:val="none" w:sz="0" w:space="0" w:color="auto"/>
            <w:right w:val="none" w:sz="0" w:space="0" w:color="auto"/>
          </w:divBdr>
        </w:div>
      </w:divsChild>
    </w:div>
    <w:div w:id="206406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DD26-1FA5-4834-A582-16C1214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 Mancy</dc:creator>
  <cp:lastModifiedBy>dxq</cp:lastModifiedBy>
  <cp:revision>190</cp:revision>
  <cp:lastPrinted>2017-01-13T08:35:00Z</cp:lastPrinted>
  <dcterms:created xsi:type="dcterms:W3CDTF">2018-07-02T07:24:00Z</dcterms:created>
  <dcterms:modified xsi:type="dcterms:W3CDTF">2024-03-12T06:14:00Z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66892770A5FE4FDFB505A90FE98557AD</vt:lpwstr>
  </property>
</Properties>
</file>