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B73D" w14:textId="4262EA6D" w:rsidR="00AC7A56" w:rsidRPr="007570DA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公告编号</w:t>
      </w:r>
      <w:r w:rsidRPr="004502BB">
        <w:rPr>
          <w:rFonts w:asciiTheme="minorEastAsia" w:eastAsiaTheme="minorEastAsia" w:hAnsiTheme="minorEastAsia"/>
          <w:sz w:val="24"/>
          <w:szCs w:val="24"/>
        </w:rPr>
        <w:t>：</w:t>
      </w:r>
      <w:r w:rsidR="00307599">
        <w:rPr>
          <w:rFonts w:asciiTheme="minorEastAsia" w:eastAsiaTheme="minorEastAsia" w:hAnsiTheme="minorEastAsia"/>
          <w:sz w:val="24"/>
          <w:szCs w:val="24"/>
        </w:rPr>
        <w:t>2020</w:t>
      </w:r>
      <w:r w:rsidRPr="004502BB">
        <w:rPr>
          <w:rFonts w:asciiTheme="minorEastAsia" w:eastAsiaTheme="minorEastAsia" w:hAnsiTheme="minorEastAsia"/>
          <w:sz w:val="24"/>
          <w:szCs w:val="24"/>
        </w:rPr>
        <w:t>-</w:t>
      </w:r>
      <w:r w:rsidR="000A7B1A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41572B">
        <w:rPr>
          <w:rFonts w:asciiTheme="minorEastAsia" w:eastAsiaTheme="minorEastAsia" w:hAnsiTheme="minorEastAsia"/>
          <w:sz w:val="24"/>
          <w:szCs w:val="24"/>
        </w:rPr>
        <w:t>74</w:t>
      </w:r>
    </w:p>
    <w:p w14:paraId="09E73FFB" w14:textId="77777777" w:rsidR="00AC7A56" w:rsidRPr="00E64FAE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078E4918" w14:textId="77777777"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14:paraId="7896D294" w14:textId="3403C72F" w:rsidR="000A591B" w:rsidRPr="007570DA" w:rsidRDefault="004A6536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关于为</w:t>
      </w:r>
      <w:r w:rsidR="0041572B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控股</w:t>
      </w:r>
      <w:r w:rsidR="00311632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子公司</w:t>
      </w:r>
      <w:r w:rsidR="000D5581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提供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担保的公告</w:t>
      </w:r>
    </w:p>
    <w:p w14:paraId="4D196A71" w14:textId="77777777"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63155E38" w14:textId="77777777" w:rsidR="00AC7A56" w:rsidRPr="007570DA" w:rsidRDefault="00AC7A56" w:rsidP="00511D1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159B43CA" w14:textId="4A957B8D" w:rsidR="00750F9A" w:rsidRPr="00B65E5D" w:rsidRDefault="004C4541" w:rsidP="00750F9A">
      <w:pPr>
        <w:pStyle w:val="af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50F9A">
        <w:rPr>
          <w:rFonts w:asciiTheme="minorEastAsia" w:eastAsiaTheme="minorEastAsia" w:hAnsiTheme="minorEastAsia" w:hint="eastAsia"/>
          <w:sz w:val="24"/>
          <w:szCs w:val="24"/>
        </w:rPr>
        <w:t>被担保</w:t>
      </w:r>
      <w:r w:rsidRPr="00750F9A">
        <w:rPr>
          <w:rFonts w:asciiTheme="minorEastAsia" w:eastAsiaTheme="minorEastAsia" w:hAnsiTheme="minorEastAsia"/>
          <w:sz w:val="24"/>
          <w:szCs w:val="24"/>
        </w:rPr>
        <w:t>人名</w:t>
      </w:r>
      <w:r w:rsidRPr="00750F9A">
        <w:rPr>
          <w:rFonts w:asciiTheme="minorEastAsia" w:eastAsiaTheme="minorEastAsia" w:hAnsiTheme="minorEastAsia" w:hint="eastAsia"/>
          <w:sz w:val="24"/>
          <w:szCs w:val="24"/>
        </w:rPr>
        <w:t>称</w:t>
      </w:r>
      <w:r w:rsidRPr="00750F9A">
        <w:rPr>
          <w:rFonts w:asciiTheme="minorEastAsia" w:eastAsiaTheme="minorEastAsia" w:hAnsiTheme="minorEastAsia"/>
          <w:sz w:val="24"/>
          <w:szCs w:val="24"/>
        </w:rPr>
        <w:t>：</w:t>
      </w:r>
      <w:r w:rsidR="0041572B" w:rsidRPr="0041572B">
        <w:rPr>
          <w:rFonts w:asciiTheme="minorEastAsia" w:eastAsiaTheme="minorEastAsia" w:hAnsiTheme="minorEastAsia" w:hint="eastAsia"/>
          <w:sz w:val="24"/>
          <w:szCs w:val="24"/>
        </w:rPr>
        <w:t>辽宁奥达制药有限公司</w:t>
      </w:r>
    </w:p>
    <w:p w14:paraId="50E965AE" w14:textId="27AC3C8A" w:rsidR="004C4541" w:rsidRPr="00750F9A" w:rsidRDefault="004C4541" w:rsidP="00BC0723">
      <w:pPr>
        <w:pStyle w:val="af0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750F9A">
        <w:rPr>
          <w:rFonts w:asciiTheme="minorEastAsia" w:eastAsiaTheme="minorEastAsia" w:hAnsiTheme="minorEastAsia" w:hint="eastAsia"/>
          <w:sz w:val="24"/>
          <w:szCs w:val="24"/>
        </w:rPr>
        <w:t>是否</w:t>
      </w:r>
      <w:r w:rsidRPr="00750F9A">
        <w:rPr>
          <w:rFonts w:asciiTheme="minorEastAsia" w:eastAsiaTheme="minorEastAsia" w:hAnsiTheme="minorEastAsia"/>
          <w:sz w:val="24"/>
          <w:szCs w:val="24"/>
        </w:rPr>
        <w:t>有</w:t>
      </w:r>
      <w:r w:rsidRPr="00750F9A">
        <w:rPr>
          <w:rFonts w:asciiTheme="minorEastAsia" w:eastAsiaTheme="minorEastAsia" w:hAnsiTheme="minorEastAsia" w:hint="eastAsia"/>
          <w:sz w:val="24"/>
          <w:szCs w:val="24"/>
        </w:rPr>
        <w:t>反</w:t>
      </w:r>
      <w:r w:rsidRPr="00750F9A">
        <w:rPr>
          <w:rFonts w:asciiTheme="minorEastAsia" w:eastAsiaTheme="minorEastAsia" w:hAnsiTheme="minorEastAsia"/>
          <w:sz w:val="24"/>
          <w:szCs w:val="24"/>
        </w:rPr>
        <w:t>担保：无</w:t>
      </w:r>
    </w:p>
    <w:p w14:paraId="24EEA65E" w14:textId="22219EF3" w:rsidR="004C4541" w:rsidRPr="00F97ABA" w:rsidRDefault="004C4541" w:rsidP="00F97ABA">
      <w:pPr>
        <w:pStyle w:val="af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对外担保</w:t>
      </w:r>
      <w:r w:rsidRPr="000D7C63">
        <w:rPr>
          <w:rFonts w:asciiTheme="minorEastAsia" w:eastAsiaTheme="minorEastAsia" w:hAnsiTheme="minorEastAsia"/>
          <w:sz w:val="24"/>
          <w:szCs w:val="24"/>
        </w:rPr>
        <w:t>逾期</w:t>
      </w:r>
      <w:r w:rsidR="00AA6222" w:rsidRPr="000D7C63">
        <w:rPr>
          <w:rFonts w:asciiTheme="minorEastAsia" w:eastAsiaTheme="minorEastAsia" w:hAnsiTheme="minorEastAsia" w:hint="eastAsia"/>
          <w:sz w:val="24"/>
          <w:szCs w:val="24"/>
        </w:rPr>
        <w:t>累计</w:t>
      </w:r>
      <w:r w:rsidR="00AA6222" w:rsidRPr="000D7C63">
        <w:rPr>
          <w:rFonts w:asciiTheme="minorEastAsia" w:eastAsiaTheme="minorEastAsia" w:hAnsiTheme="minorEastAsia"/>
          <w:sz w:val="24"/>
          <w:szCs w:val="24"/>
        </w:rPr>
        <w:t>数量</w:t>
      </w:r>
      <w:r w:rsidRPr="000D7C63">
        <w:rPr>
          <w:rFonts w:asciiTheme="minorEastAsia" w:eastAsiaTheme="minorEastAsia" w:hAnsiTheme="minorEastAsia"/>
          <w:sz w:val="24"/>
          <w:szCs w:val="24"/>
        </w:rPr>
        <w:t>：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本次担保金额为</w:t>
      </w:r>
      <w:r w:rsidR="000B5567" w:rsidRPr="000D7C63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41572B">
        <w:rPr>
          <w:rFonts w:asciiTheme="minorEastAsia" w:eastAsiaTheme="minorEastAsia" w:hAnsiTheme="minorEastAsia"/>
          <w:sz w:val="24"/>
          <w:szCs w:val="24"/>
        </w:rPr>
        <w:t>5</w:t>
      </w:r>
      <w:r w:rsidR="00E64FAE" w:rsidRPr="007264A6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812BEF" w:rsidRPr="000D7C63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元。</w:t>
      </w:r>
      <w:r w:rsidR="006C58C6" w:rsidRPr="000D7C6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05C56" w:rsidRPr="000D7C63">
        <w:rPr>
          <w:rFonts w:asciiTheme="minorEastAsia" w:eastAsiaTheme="minorEastAsia" w:hAnsiTheme="minorEastAsia" w:hint="eastAsia"/>
          <w:sz w:val="24"/>
          <w:szCs w:val="24"/>
        </w:rPr>
        <w:t>本次担保前，公司为</w:t>
      </w:r>
      <w:r w:rsidR="0041572B" w:rsidRPr="0041572B">
        <w:rPr>
          <w:rFonts w:asciiTheme="minorEastAsia" w:eastAsiaTheme="minorEastAsia" w:hAnsiTheme="minorEastAsia" w:hint="eastAsia"/>
          <w:sz w:val="24"/>
          <w:szCs w:val="24"/>
        </w:rPr>
        <w:t>辽宁奥达</w:t>
      </w:r>
      <w:r w:rsidR="00F97ABA" w:rsidRPr="00B65E5D">
        <w:rPr>
          <w:rFonts w:asciiTheme="minorEastAsia" w:eastAsiaTheme="minorEastAsia" w:hAnsiTheme="minorEastAsia" w:hint="eastAsia"/>
          <w:sz w:val="24"/>
          <w:szCs w:val="24"/>
        </w:rPr>
        <w:t>制药有限公司</w:t>
      </w:r>
      <w:r w:rsidR="00105C56" w:rsidRPr="00F97ABA">
        <w:rPr>
          <w:rFonts w:asciiTheme="minorEastAsia" w:eastAsiaTheme="minorEastAsia" w:hAnsiTheme="minorEastAsia" w:hint="eastAsia"/>
          <w:sz w:val="24"/>
          <w:szCs w:val="24"/>
        </w:rPr>
        <w:t>提供担保额为人民币</w:t>
      </w:r>
      <w:r w:rsidR="008307BE" w:rsidRPr="00F97ABA">
        <w:rPr>
          <w:rFonts w:asciiTheme="minorEastAsia" w:eastAsiaTheme="minorEastAsia" w:hAnsiTheme="minorEastAsia"/>
          <w:sz w:val="24"/>
          <w:szCs w:val="24"/>
        </w:rPr>
        <w:t>0</w:t>
      </w:r>
      <w:r w:rsidR="00105C56" w:rsidRPr="00F97ABA">
        <w:rPr>
          <w:rFonts w:asciiTheme="minorEastAsia" w:eastAsiaTheme="minorEastAsia" w:hAnsiTheme="minorEastAsia" w:hint="eastAsia"/>
          <w:sz w:val="24"/>
          <w:szCs w:val="24"/>
        </w:rPr>
        <w:t>元。</w:t>
      </w:r>
      <w:r w:rsidR="0020491C" w:rsidRPr="00F97ABA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DD04D0" w:rsidRPr="00F97ABA">
        <w:rPr>
          <w:rFonts w:asciiTheme="minorEastAsia" w:eastAsiaTheme="minorEastAsia" w:hAnsiTheme="minorEastAsia" w:hint="eastAsia"/>
          <w:sz w:val="24"/>
          <w:szCs w:val="24"/>
        </w:rPr>
        <w:t>及控股子公司已提供的担保</w:t>
      </w:r>
      <w:r w:rsidR="004502BB" w:rsidRPr="00F97ABA">
        <w:rPr>
          <w:rFonts w:asciiTheme="minorEastAsia" w:eastAsiaTheme="minorEastAsia" w:hAnsiTheme="minorEastAsia" w:hint="eastAsia"/>
          <w:sz w:val="24"/>
          <w:szCs w:val="24"/>
        </w:rPr>
        <w:t>余</w:t>
      </w:r>
      <w:r w:rsidR="00DD04D0" w:rsidRPr="00F97ABA">
        <w:rPr>
          <w:rFonts w:asciiTheme="minorEastAsia" w:eastAsiaTheme="minorEastAsia" w:hAnsiTheme="minorEastAsia" w:hint="eastAsia"/>
          <w:sz w:val="24"/>
          <w:szCs w:val="24"/>
        </w:rPr>
        <w:t>额</w:t>
      </w:r>
      <w:r w:rsidR="006C58C6" w:rsidRPr="00F97ABA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0B5567" w:rsidRPr="00F97ABA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41572B" w:rsidRPr="0041572B">
        <w:rPr>
          <w:rFonts w:asciiTheme="minorEastAsia" w:eastAsiaTheme="minorEastAsia" w:hAnsiTheme="minorEastAsia"/>
          <w:sz w:val="24"/>
          <w:szCs w:val="24"/>
        </w:rPr>
        <w:t>379,742,422.90</w:t>
      </w:r>
      <w:r w:rsidR="008E0AB4" w:rsidRPr="00F97ABA">
        <w:rPr>
          <w:rFonts w:asciiTheme="minorEastAsia" w:eastAsiaTheme="minorEastAsia" w:hAnsiTheme="minorEastAsia"/>
          <w:sz w:val="24"/>
          <w:szCs w:val="24"/>
        </w:rPr>
        <w:t>元</w:t>
      </w:r>
      <w:r w:rsidR="00560BCF" w:rsidRPr="00F97ABA">
        <w:rPr>
          <w:rFonts w:asciiTheme="minorEastAsia" w:eastAsiaTheme="minorEastAsia" w:hAnsiTheme="minorEastAsia" w:hint="eastAsia"/>
          <w:sz w:val="24"/>
          <w:szCs w:val="24"/>
        </w:rPr>
        <w:t>（含本次担保）</w:t>
      </w:r>
      <w:r w:rsidR="006C58C6" w:rsidRPr="00F97ABA">
        <w:rPr>
          <w:rFonts w:asciiTheme="minorEastAsia" w:eastAsiaTheme="minorEastAsia" w:hAnsiTheme="minorEastAsia" w:hint="eastAsia"/>
          <w:sz w:val="24"/>
          <w:szCs w:val="24"/>
        </w:rPr>
        <w:t>，不存在对外担保逾期的情形。</w:t>
      </w:r>
    </w:p>
    <w:p w14:paraId="72713C09" w14:textId="77777777" w:rsidR="006C4414" w:rsidRPr="004502BB" w:rsidRDefault="006C4414" w:rsidP="006C4414">
      <w:pPr>
        <w:pStyle w:val="af0"/>
        <w:spacing w:line="360" w:lineRule="auto"/>
        <w:ind w:left="90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14:paraId="7D1927F1" w14:textId="77777777" w:rsidR="00673DE7" w:rsidRPr="000D7C63" w:rsidRDefault="006C58C6" w:rsidP="00511D1E">
      <w:pPr>
        <w:pStyle w:val="af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担保</w:t>
      </w:r>
      <w:r w:rsidR="009A36AA" w:rsidRPr="000D7C63">
        <w:rPr>
          <w:rFonts w:asciiTheme="minorEastAsia" w:eastAsiaTheme="minorEastAsia" w:hAnsiTheme="minorEastAsia" w:hint="eastAsia"/>
          <w:b/>
          <w:sz w:val="24"/>
          <w:szCs w:val="24"/>
        </w:rPr>
        <w:t>情况</w:t>
      </w:r>
      <w:r w:rsidR="00E73BEB" w:rsidRPr="000D7C63">
        <w:rPr>
          <w:rFonts w:asciiTheme="minorEastAsia" w:eastAsiaTheme="minorEastAsia" w:hAnsiTheme="minorEastAsia" w:hint="eastAsia"/>
          <w:b/>
          <w:sz w:val="24"/>
          <w:szCs w:val="24"/>
        </w:rPr>
        <w:t>概述</w:t>
      </w:r>
    </w:p>
    <w:p w14:paraId="110330D9" w14:textId="0FFD3337" w:rsidR="007264A6" w:rsidRPr="000D7C63" w:rsidRDefault="00553D4F" w:rsidP="007264A6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="00231E1B" w:rsidRPr="000D7C63">
        <w:rPr>
          <w:rFonts w:asciiTheme="minorEastAsia" w:eastAsiaTheme="minorEastAsia" w:hAnsiTheme="minorEastAsia" w:hint="eastAsia"/>
          <w:sz w:val="24"/>
          <w:szCs w:val="24"/>
        </w:rPr>
        <w:t>中国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建设</w:t>
      </w:r>
      <w:r w:rsidR="00231E1B" w:rsidRPr="000D7C63">
        <w:rPr>
          <w:rFonts w:asciiTheme="minorEastAsia" w:eastAsiaTheme="minorEastAsia" w:hAnsiTheme="minorEastAsia" w:hint="eastAsia"/>
          <w:sz w:val="24"/>
          <w:szCs w:val="24"/>
        </w:rPr>
        <w:t>银行股份有限公司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营口分行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FD2C43">
        <w:rPr>
          <w:rFonts w:asciiTheme="minorEastAsia" w:eastAsiaTheme="minorEastAsia" w:hAnsiTheme="minorEastAsia" w:hint="eastAsia"/>
          <w:sz w:val="24"/>
          <w:szCs w:val="24"/>
        </w:rPr>
        <w:t>建行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营口分行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”）签订《</w:t>
      </w:r>
      <w:r w:rsidR="004B170C">
        <w:rPr>
          <w:rFonts w:asciiTheme="minorEastAsia" w:eastAsiaTheme="minorEastAsia" w:hAnsiTheme="minorEastAsia" w:hint="eastAsia"/>
          <w:sz w:val="24"/>
          <w:szCs w:val="24"/>
        </w:rPr>
        <w:t>本金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最高额保证合同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="00252182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41572B" w:rsidRPr="0041572B">
        <w:rPr>
          <w:rFonts w:asciiTheme="minorEastAsia" w:eastAsiaTheme="minorEastAsia" w:hAnsiTheme="minorEastAsia" w:hint="eastAsia"/>
          <w:sz w:val="24"/>
          <w:szCs w:val="24"/>
        </w:rPr>
        <w:t>辽宁奥达制药有限公司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41572B" w:rsidRPr="0041572B">
        <w:rPr>
          <w:rFonts w:asciiTheme="minorEastAsia" w:eastAsiaTheme="minorEastAsia" w:hAnsiTheme="minorEastAsia" w:hint="eastAsia"/>
          <w:sz w:val="24"/>
          <w:szCs w:val="24"/>
        </w:rPr>
        <w:t>辽宁奥达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于2</w:t>
      </w:r>
      <w:r w:rsidR="008307BE">
        <w:rPr>
          <w:rFonts w:asciiTheme="minorEastAsia" w:eastAsiaTheme="minorEastAsia" w:hAnsiTheme="minorEastAsia"/>
          <w:sz w:val="24"/>
          <w:szCs w:val="24"/>
        </w:rPr>
        <w:t>020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1572B">
        <w:rPr>
          <w:rFonts w:asciiTheme="minorEastAsia" w:eastAsiaTheme="minorEastAsia" w:hAnsiTheme="minorEastAsia"/>
          <w:sz w:val="24"/>
          <w:szCs w:val="24"/>
        </w:rPr>
        <w:t>12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日至2</w:t>
      </w:r>
      <w:r w:rsidR="008307BE">
        <w:rPr>
          <w:rFonts w:asciiTheme="minorEastAsia" w:eastAsiaTheme="minorEastAsia" w:hAnsiTheme="minorEastAsia"/>
          <w:sz w:val="24"/>
          <w:szCs w:val="24"/>
        </w:rPr>
        <w:t>0</w:t>
      </w:r>
      <w:r w:rsidR="000A7B1A">
        <w:rPr>
          <w:rFonts w:asciiTheme="minorEastAsia" w:eastAsiaTheme="minorEastAsia" w:hAnsiTheme="minorEastAsia"/>
          <w:sz w:val="24"/>
          <w:szCs w:val="24"/>
        </w:rPr>
        <w:t>21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0A7B1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日期间</w:t>
      </w:r>
      <w:r w:rsidR="00427F10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996DC6">
        <w:rPr>
          <w:rFonts w:asciiTheme="minorEastAsia" w:eastAsiaTheme="minorEastAsia" w:hAnsiTheme="minorEastAsia" w:hint="eastAsia"/>
          <w:sz w:val="24"/>
          <w:szCs w:val="24"/>
        </w:rPr>
        <w:t>建</w:t>
      </w:r>
      <w:r w:rsidR="00996DC6" w:rsidRPr="000D7C63">
        <w:rPr>
          <w:rFonts w:asciiTheme="minorEastAsia" w:eastAsiaTheme="minorEastAsia" w:hAnsiTheme="minorEastAsia" w:hint="eastAsia"/>
          <w:sz w:val="24"/>
          <w:szCs w:val="24"/>
        </w:rPr>
        <w:t>行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营口分行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发生的人民币贷款提供</w:t>
      </w:r>
      <w:proofErr w:type="gramStart"/>
      <w:r w:rsidR="007264A6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7264A6">
        <w:rPr>
          <w:rFonts w:asciiTheme="minorEastAsia" w:eastAsiaTheme="minorEastAsia" w:hAnsiTheme="minorEastAsia" w:hint="eastAsia"/>
          <w:sz w:val="24"/>
          <w:szCs w:val="24"/>
        </w:rPr>
        <w:t>高额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7264A6">
        <w:rPr>
          <w:rFonts w:asciiTheme="minorEastAsia" w:eastAsiaTheme="minorEastAsia" w:hAnsiTheme="minorEastAsia"/>
          <w:sz w:val="24"/>
          <w:szCs w:val="24"/>
        </w:rPr>
        <w:t>,000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连带责任</w:t>
      </w:r>
      <w:r w:rsidR="007264A6" w:rsidRPr="000D7C63">
        <w:rPr>
          <w:rFonts w:asciiTheme="minorEastAsia" w:eastAsiaTheme="minorEastAsia" w:hAnsiTheme="minorEastAsia"/>
          <w:sz w:val="24"/>
          <w:szCs w:val="24"/>
        </w:rPr>
        <w:t>保证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F71E33" w:rsidRPr="00F71E33">
        <w:rPr>
          <w:rFonts w:asciiTheme="minorEastAsia" w:eastAsiaTheme="minorEastAsia" w:hAnsiTheme="minorEastAsia" w:hint="eastAsia"/>
          <w:sz w:val="24"/>
          <w:szCs w:val="24"/>
        </w:rPr>
        <w:t>公司持有</w:t>
      </w:r>
      <w:r w:rsidR="00F71E33" w:rsidRPr="0041572B">
        <w:rPr>
          <w:rFonts w:asciiTheme="minorEastAsia" w:eastAsiaTheme="minorEastAsia" w:hAnsiTheme="minorEastAsia" w:hint="eastAsia"/>
          <w:sz w:val="24"/>
          <w:szCs w:val="24"/>
        </w:rPr>
        <w:t>辽宁奥达69.05%</w:t>
      </w:r>
      <w:r w:rsidR="00F71E33" w:rsidRPr="00F71E33">
        <w:rPr>
          <w:rFonts w:asciiTheme="minorEastAsia" w:eastAsiaTheme="minorEastAsia" w:hAnsiTheme="minorEastAsia" w:hint="eastAsia"/>
          <w:sz w:val="24"/>
          <w:szCs w:val="24"/>
        </w:rPr>
        <w:t>股权，具有绝对的经营控制权，</w:t>
      </w:r>
      <w:r w:rsidR="00F71E33" w:rsidRPr="0041572B">
        <w:rPr>
          <w:rFonts w:asciiTheme="minorEastAsia" w:eastAsiaTheme="minorEastAsia" w:hAnsiTheme="minorEastAsia" w:hint="eastAsia"/>
          <w:sz w:val="24"/>
          <w:szCs w:val="24"/>
        </w:rPr>
        <w:t>辽宁奥达</w:t>
      </w:r>
      <w:r w:rsidR="00F71E33" w:rsidRPr="00F71E33">
        <w:rPr>
          <w:rFonts w:asciiTheme="minorEastAsia" w:eastAsiaTheme="minorEastAsia" w:hAnsiTheme="minorEastAsia" w:hint="eastAsia"/>
          <w:sz w:val="24"/>
          <w:szCs w:val="24"/>
        </w:rPr>
        <w:t>少数股东未实际参与其日常生产经营，故未按持股比例提供担保。</w:t>
      </w:r>
    </w:p>
    <w:p w14:paraId="2897F459" w14:textId="61DE18D5" w:rsidR="0097779C" w:rsidRPr="000D7C63" w:rsidRDefault="0097779C" w:rsidP="00881D12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Style w:val="fontstyle01"/>
          <w:rFonts w:hint="default"/>
        </w:rPr>
        <w:t>本次担保属于公司</w:t>
      </w:r>
      <w:r w:rsidR="00DF19B6">
        <w:rPr>
          <w:rStyle w:val="fontstyle21"/>
        </w:rPr>
        <w:t>201</w:t>
      </w:r>
      <w:r w:rsidR="0041572B">
        <w:rPr>
          <w:rStyle w:val="fontstyle21"/>
        </w:rPr>
        <w:t>9</w:t>
      </w:r>
      <w:r w:rsidRPr="000D7C63">
        <w:rPr>
          <w:rStyle w:val="fontstyle01"/>
          <w:rFonts w:hint="default"/>
        </w:rPr>
        <w:t>年</w:t>
      </w:r>
      <w:r w:rsidR="00DA5FAA" w:rsidRPr="000D7C63">
        <w:rPr>
          <w:rStyle w:val="fontstyle01"/>
          <w:rFonts w:hint="default"/>
        </w:rPr>
        <w:t>年度</w:t>
      </w:r>
      <w:r w:rsidRPr="000D7C63">
        <w:rPr>
          <w:rStyle w:val="fontstyle01"/>
          <w:rFonts w:hint="default"/>
        </w:rPr>
        <w:t>股东大会授权范围。</w:t>
      </w:r>
    </w:p>
    <w:p w14:paraId="6885B586" w14:textId="77777777" w:rsidR="00F60F28" w:rsidRPr="000D7C63" w:rsidRDefault="00E73BEB" w:rsidP="00511D1E">
      <w:pPr>
        <w:pStyle w:val="af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被担保</w:t>
      </w:r>
      <w:r w:rsidRPr="000D7C63">
        <w:rPr>
          <w:rFonts w:asciiTheme="minorEastAsia" w:eastAsiaTheme="minorEastAsia" w:hAnsiTheme="minorEastAsia"/>
          <w:b/>
          <w:sz w:val="24"/>
          <w:szCs w:val="24"/>
        </w:rPr>
        <w:t>人基本情况</w:t>
      </w:r>
    </w:p>
    <w:p w14:paraId="588068EB" w14:textId="77777777" w:rsidR="0041572B" w:rsidRP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t>辽宁奥达制药有限公司</w:t>
      </w:r>
    </w:p>
    <w:p w14:paraId="5145E86B" w14:textId="77777777" w:rsidR="0041572B" w:rsidRP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t>成立日期：1996年12月13日</w:t>
      </w:r>
    </w:p>
    <w:p w14:paraId="01F2440A" w14:textId="77777777" w:rsidR="0041572B" w:rsidRP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t>法定代表人：王益民</w:t>
      </w:r>
    </w:p>
    <w:p w14:paraId="4628EE14" w14:textId="77777777" w:rsidR="0041572B" w:rsidRP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t>注册资本：人民币壹仟捌佰万元整</w:t>
      </w:r>
    </w:p>
    <w:p w14:paraId="2B4242D2" w14:textId="77777777" w:rsidR="0041572B" w:rsidRP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t>住所：营口市路南高新技术产业开发区</w:t>
      </w:r>
    </w:p>
    <w:p w14:paraId="280A3CB2" w14:textId="77777777" w:rsidR="0041572B" w:rsidRP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lastRenderedPageBreak/>
        <w:t>经营范围：生产：片剂、干混悬剂、原料药（重质碳酸镁、铝酸铋）、颗粒剂、硬胶囊剂、药用辅料（糊精、可溶性淀粉）、药用辅料（低取代羟丙纤维素、硬脂酸镁、微晶纤维素、</w:t>
      </w:r>
      <w:proofErr w:type="gramStart"/>
      <w:r w:rsidRPr="0041572B">
        <w:rPr>
          <w:rFonts w:asciiTheme="minorEastAsia" w:eastAsiaTheme="minorEastAsia" w:hAnsiTheme="minorEastAsia" w:hint="eastAsia"/>
          <w:sz w:val="24"/>
          <w:szCs w:val="24"/>
        </w:rPr>
        <w:t>羧甲淀粉</w:t>
      </w:r>
      <w:proofErr w:type="gramEnd"/>
      <w:r w:rsidRPr="0041572B">
        <w:rPr>
          <w:rFonts w:asciiTheme="minorEastAsia" w:eastAsiaTheme="minorEastAsia" w:hAnsiTheme="minorEastAsia" w:hint="eastAsia"/>
          <w:sz w:val="24"/>
          <w:szCs w:val="24"/>
        </w:rPr>
        <w:t>钠、预胶化淀粉、</w:t>
      </w:r>
      <w:proofErr w:type="gramStart"/>
      <w:r w:rsidRPr="0041572B">
        <w:rPr>
          <w:rFonts w:asciiTheme="minorEastAsia" w:eastAsiaTheme="minorEastAsia" w:hAnsiTheme="minorEastAsia" w:hint="eastAsia"/>
          <w:sz w:val="24"/>
          <w:szCs w:val="24"/>
        </w:rPr>
        <w:t>羟丙甲纤维素</w:t>
      </w:r>
      <w:proofErr w:type="gramEnd"/>
      <w:r w:rsidRPr="0041572B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Pr="0041572B">
        <w:rPr>
          <w:rFonts w:asciiTheme="minorEastAsia" w:eastAsiaTheme="minorEastAsia" w:hAnsiTheme="minorEastAsia" w:hint="eastAsia"/>
          <w:sz w:val="24"/>
          <w:szCs w:val="24"/>
        </w:rPr>
        <w:t>聚维酮</w:t>
      </w:r>
      <w:proofErr w:type="gramEnd"/>
      <w:r w:rsidRPr="0041572B">
        <w:rPr>
          <w:rFonts w:asciiTheme="minorEastAsia" w:eastAsiaTheme="minorEastAsia" w:hAnsiTheme="minorEastAsia" w:hint="eastAsia"/>
          <w:sz w:val="24"/>
          <w:szCs w:val="24"/>
        </w:rPr>
        <w:t>K30、薄膜包衣预混剂(胃溶型、</w:t>
      </w:r>
      <w:proofErr w:type="gramStart"/>
      <w:r w:rsidRPr="0041572B">
        <w:rPr>
          <w:rFonts w:asciiTheme="minorEastAsia" w:eastAsiaTheme="minorEastAsia" w:hAnsiTheme="minorEastAsia" w:hint="eastAsia"/>
          <w:sz w:val="24"/>
          <w:szCs w:val="24"/>
        </w:rPr>
        <w:t>肠溶型</w:t>
      </w:r>
      <w:proofErr w:type="gramEnd"/>
      <w:r w:rsidRPr="0041572B">
        <w:rPr>
          <w:rFonts w:asciiTheme="minorEastAsia" w:eastAsiaTheme="minorEastAsia" w:hAnsiTheme="minorEastAsia" w:hint="eastAsia"/>
          <w:sz w:val="24"/>
          <w:szCs w:val="24"/>
        </w:rPr>
        <w:t>)、羧甲基纤维素钠、聚丙烯酸树脂Ⅱ、聚丙烯酸树脂Ⅲ、聚丙烯酸树脂Ⅳ）（依法须经批准的项目，经相关部门批准后方可开展经营活动）、透明质酸钠（玻璃酸钠）（产品原材料中涉及危险化学品除外）。</w:t>
      </w:r>
    </w:p>
    <w:p w14:paraId="2BC73A4E" w14:textId="77777777" w:rsidR="0041572B" w:rsidRP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t>与公司关系：公司控股子公司。其中，公司持股69.05%，辽宁奥美投资有限公司持股30.95%。辽宁奥美投资有限公司与公司无关联关系。</w:t>
      </w:r>
    </w:p>
    <w:p w14:paraId="15147A4F" w14:textId="77777777" w:rsidR="0041572B" w:rsidRP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t>截至2019年12月31日，总资产20,369.75万元，负债总额15,314.53万元，净资产5,055.22万元，2019年度实现营业收入29,763.35万元，净利润2,610.98万元，资产负债率为75.18%。（上述数据经审计）</w:t>
      </w:r>
    </w:p>
    <w:p w14:paraId="5D769349" w14:textId="77777777" w:rsidR="0041572B" w:rsidRDefault="0041572B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1572B">
        <w:rPr>
          <w:rFonts w:asciiTheme="minorEastAsia" w:eastAsiaTheme="minorEastAsia" w:hAnsiTheme="minorEastAsia" w:hint="eastAsia"/>
          <w:sz w:val="24"/>
          <w:szCs w:val="24"/>
        </w:rPr>
        <w:t>截至2020年3月31日，总资产20,805.94万元，负债总额15,501.75万元，净资产5,304.19万元，2020年1-3月实现营业收入4,851.07万元，净利润248.97万元，资产负债率为74.51%。（上述数据未经审计）</w:t>
      </w:r>
    </w:p>
    <w:p w14:paraId="17A7989D" w14:textId="7F82F178" w:rsidR="00DE6B0B" w:rsidRPr="000D7C63" w:rsidRDefault="00791765" w:rsidP="004157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E6B0B" w:rsidRPr="000D7C63">
        <w:rPr>
          <w:rFonts w:asciiTheme="minorEastAsia" w:eastAsiaTheme="minorEastAsia" w:hAnsiTheme="minorEastAsia" w:hint="eastAsia"/>
          <w:b/>
          <w:sz w:val="24"/>
          <w:szCs w:val="24"/>
        </w:rPr>
        <w:t>担保主要内容</w:t>
      </w:r>
    </w:p>
    <w:p w14:paraId="2FF3BA56" w14:textId="22314514" w:rsidR="007264A6" w:rsidRPr="000D7C63" w:rsidRDefault="003B0F77" w:rsidP="007264A6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41572B" w:rsidRPr="0041572B">
        <w:rPr>
          <w:rFonts w:asciiTheme="minorEastAsia" w:eastAsiaTheme="minorEastAsia" w:hAnsiTheme="minorEastAsia" w:hint="eastAsia"/>
          <w:sz w:val="24"/>
          <w:szCs w:val="24"/>
        </w:rPr>
        <w:t>辽宁奥达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于2</w:t>
      </w:r>
      <w:r w:rsidR="0041572B">
        <w:rPr>
          <w:rFonts w:asciiTheme="minorEastAsia" w:eastAsiaTheme="minorEastAsia" w:hAnsiTheme="minorEastAsia"/>
          <w:sz w:val="24"/>
          <w:szCs w:val="24"/>
        </w:rPr>
        <w:t>020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年2月</w:t>
      </w:r>
      <w:r w:rsidR="0041572B">
        <w:rPr>
          <w:rFonts w:asciiTheme="minorEastAsia" w:eastAsiaTheme="minorEastAsia" w:hAnsiTheme="minorEastAsia"/>
          <w:sz w:val="24"/>
          <w:szCs w:val="24"/>
        </w:rPr>
        <w:t>12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日至2</w:t>
      </w:r>
      <w:r w:rsidR="0041572B">
        <w:rPr>
          <w:rFonts w:asciiTheme="minorEastAsia" w:eastAsiaTheme="minorEastAsia" w:hAnsiTheme="minorEastAsia"/>
          <w:sz w:val="24"/>
          <w:szCs w:val="24"/>
        </w:rPr>
        <w:t>021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年2月12日期间在建</w:t>
      </w:r>
      <w:r w:rsidR="0041572B" w:rsidRPr="000D7C63">
        <w:rPr>
          <w:rFonts w:asciiTheme="minorEastAsia" w:eastAsiaTheme="minorEastAsia" w:hAnsiTheme="minorEastAsia" w:hint="eastAsia"/>
          <w:sz w:val="24"/>
          <w:szCs w:val="24"/>
        </w:rPr>
        <w:t>行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营口分行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发生的人民币贷款提供</w:t>
      </w:r>
      <w:proofErr w:type="gramStart"/>
      <w:r w:rsidR="007264A6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7264A6">
        <w:rPr>
          <w:rFonts w:asciiTheme="minorEastAsia" w:eastAsiaTheme="minorEastAsia" w:hAnsiTheme="minorEastAsia" w:hint="eastAsia"/>
          <w:sz w:val="24"/>
          <w:szCs w:val="24"/>
        </w:rPr>
        <w:t>高额</w:t>
      </w:r>
      <w:r w:rsidR="0041572B">
        <w:rPr>
          <w:rFonts w:asciiTheme="minorEastAsia" w:eastAsiaTheme="minorEastAsia" w:hAnsiTheme="minorEastAsia"/>
          <w:sz w:val="24"/>
          <w:szCs w:val="24"/>
        </w:rPr>
        <w:t>5</w:t>
      </w:r>
      <w:r w:rsidR="007264A6">
        <w:rPr>
          <w:rFonts w:asciiTheme="minorEastAsia" w:eastAsiaTheme="minorEastAsia" w:hAnsiTheme="minorEastAsia"/>
          <w:sz w:val="24"/>
          <w:szCs w:val="24"/>
        </w:rPr>
        <w:t>,000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连带责任</w:t>
      </w:r>
      <w:r w:rsidR="007264A6" w:rsidRPr="000D7C63">
        <w:rPr>
          <w:rFonts w:asciiTheme="minorEastAsia" w:eastAsiaTheme="minorEastAsia" w:hAnsiTheme="minorEastAsia"/>
          <w:sz w:val="24"/>
          <w:szCs w:val="24"/>
        </w:rPr>
        <w:t>保证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28E5278" w14:textId="77777777" w:rsidR="007F72E5" w:rsidRDefault="00BF620F" w:rsidP="007F72E5">
      <w:pPr>
        <w:pStyle w:val="af"/>
        <w:spacing w:line="360" w:lineRule="auto"/>
        <w:ind w:left="142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/>
          <w:sz w:val="24"/>
          <w:szCs w:val="24"/>
        </w:rPr>
        <w:t>保证方式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D7C63">
        <w:rPr>
          <w:rFonts w:asciiTheme="minorEastAsia" w:eastAsiaTheme="minorEastAsia" w:hAnsiTheme="minorEastAsia"/>
          <w:sz w:val="24"/>
          <w:szCs w:val="24"/>
        </w:rPr>
        <w:t>连带责任保证</w:t>
      </w:r>
    </w:p>
    <w:p w14:paraId="380C235D" w14:textId="0821D8B4" w:rsidR="00BF620F" w:rsidRPr="000D7C63" w:rsidRDefault="00BF620F" w:rsidP="004C5CF6">
      <w:pPr>
        <w:pStyle w:val="af"/>
        <w:spacing w:line="360" w:lineRule="auto"/>
        <w:ind w:left="142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/>
          <w:sz w:val="24"/>
          <w:szCs w:val="24"/>
        </w:rPr>
        <w:t>保证期间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B567BE" w:rsidRPr="000D7C63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4211D6" w:rsidRPr="000D7C63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单笔授信业务的借款合同签订之日起至</w:t>
      </w:r>
      <w:r w:rsidR="0041572B" w:rsidRPr="0041572B">
        <w:rPr>
          <w:rFonts w:asciiTheme="minorEastAsia" w:eastAsiaTheme="minorEastAsia" w:hAnsiTheme="minorEastAsia" w:hint="eastAsia"/>
          <w:sz w:val="24"/>
          <w:szCs w:val="24"/>
        </w:rPr>
        <w:t>辽宁奥达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在该借款合同</w:t>
      </w:r>
      <w:r w:rsidR="003833C0" w:rsidRPr="000D7C63">
        <w:rPr>
          <w:rFonts w:asciiTheme="minorEastAsia" w:eastAsiaTheme="minorEastAsia" w:hAnsiTheme="minorEastAsia" w:hint="eastAsia"/>
          <w:sz w:val="24"/>
          <w:szCs w:val="24"/>
        </w:rPr>
        <w:t>下的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债务履行期限届满日后三年止；</w:t>
      </w:r>
      <w:r w:rsidR="00B567BE" w:rsidRPr="000D7C63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建</w:t>
      </w:r>
      <w:r w:rsidR="0041572B" w:rsidRPr="000D7C63">
        <w:rPr>
          <w:rFonts w:asciiTheme="minorEastAsia" w:eastAsiaTheme="minorEastAsia" w:hAnsiTheme="minorEastAsia" w:hint="eastAsia"/>
          <w:sz w:val="24"/>
          <w:szCs w:val="24"/>
        </w:rPr>
        <w:t>行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营口分行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="0041572B" w:rsidRPr="0041572B">
        <w:rPr>
          <w:rFonts w:asciiTheme="minorEastAsia" w:eastAsiaTheme="minorEastAsia" w:hAnsiTheme="minorEastAsia" w:hint="eastAsia"/>
          <w:sz w:val="24"/>
          <w:szCs w:val="24"/>
        </w:rPr>
        <w:t>辽宁奥达</w:t>
      </w:r>
      <w:r w:rsidR="0058436C" w:rsidRPr="0058436C">
        <w:rPr>
          <w:rFonts w:asciiTheme="minorEastAsia" w:eastAsiaTheme="minorEastAsia" w:hAnsiTheme="minorEastAsia" w:hint="eastAsia"/>
          <w:sz w:val="24"/>
          <w:szCs w:val="24"/>
        </w:rPr>
        <w:t>就借款合同履行期限达成展期协议的，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保证期间至</w:t>
      </w:r>
      <w:r w:rsidR="0058436C" w:rsidRPr="0058436C">
        <w:rPr>
          <w:rFonts w:asciiTheme="minorEastAsia" w:eastAsiaTheme="minorEastAsia" w:hAnsiTheme="minorEastAsia" w:hint="eastAsia"/>
          <w:sz w:val="24"/>
          <w:szCs w:val="24"/>
        </w:rPr>
        <w:t>展期协议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重新</w:t>
      </w:r>
      <w:r w:rsidR="0058436C" w:rsidRPr="0058436C">
        <w:rPr>
          <w:rFonts w:asciiTheme="minorEastAsia" w:eastAsiaTheme="minorEastAsia" w:hAnsiTheme="minorEastAsia" w:hint="eastAsia"/>
          <w:sz w:val="24"/>
          <w:szCs w:val="24"/>
        </w:rPr>
        <w:t>约定的债务履行期限届满之日后三年止</w:t>
      </w:r>
      <w:r w:rsidR="004C5CF6">
        <w:rPr>
          <w:rFonts w:asciiTheme="minorEastAsia" w:eastAsiaTheme="minorEastAsia" w:hAnsiTheme="minorEastAsia" w:hint="eastAsia"/>
          <w:sz w:val="24"/>
          <w:szCs w:val="24"/>
        </w:rPr>
        <w:t>。展期经保证人同意</w:t>
      </w:r>
      <w:r w:rsidR="00E36D22">
        <w:rPr>
          <w:rFonts w:asciiTheme="minorEastAsia" w:eastAsiaTheme="minorEastAsia" w:hAnsiTheme="minorEastAsia" w:hint="eastAsia"/>
          <w:sz w:val="24"/>
          <w:szCs w:val="24"/>
        </w:rPr>
        <w:t>后</w:t>
      </w:r>
      <w:r w:rsidR="004C5CF6">
        <w:rPr>
          <w:rFonts w:asciiTheme="minorEastAsia" w:eastAsiaTheme="minorEastAsia" w:hAnsiTheme="minorEastAsia" w:hint="eastAsia"/>
          <w:sz w:val="24"/>
          <w:szCs w:val="24"/>
        </w:rPr>
        <w:t>，保证人</w:t>
      </w:r>
      <w:r w:rsidR="00E36D22">
        <w:rPr>
          <w:rFonts w:asciiTheme="minorEastAsia" w:eastAsiaTheme="minorEastAsia" w:hAnsiTheme="minorEastAsia" w:hint="eastAsia"/>
          <w:sz w:val="24"/>
          <w:szCs w:val="24"/>
        </w:rPr>
        <w:t>应当</w:t>
      </w:r>
      <w:r w:rsidR="004C5CF6">
        <w:rPr>
          <w:rFonts w:asciiTheme="minorEastAsia" w:eastAsiaTheme="minorEastAsia" w:hAnsiTheme="minorEastAsia" w:hint="eastAsia"/>
          <w:sz w:val="24"/>
          <w:szCs w:val="24"/>
        </w:rPr>
        <w:t>承担连带保证责任</w:t>
      </w:r>
      <w:r w:rsidR="0058436C" w:rsidRPr="0058436C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（3）若发生法律法规规定或借款合同约定的事项，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建</w:t>
      </w:r>
      <w:r w:rsidR="0041572B" w:rsidRPr="000D7C63">
        <w:rPr>
          <w:rFonts w:asciiTheme="minorEastAsia" w:eastAsiaTheme="minorEastAsia" w:hAnsiTheme="minorEastAsia" w:hint="eastAsia"/>
          <w:sz w:val="24"/>
          <w:szCs w:val="24"/>
        </w:rPr>
        <w:t>行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营口分行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宣布债务提前到期的，</w:t>
      </w:r>
      <w:r w:rsidR="00027799" w:rsidRPr="000D7C63">
        <w:rPr>
          <w:rFonts w:asciiTheme="minorEastAsia" w:eastAsiaTheme="minorEastAsia" w:hAnsiTheme="minorEastAsia" w:hint="eastAsia"/>
          <w:sz w:val="24"/>
          <w:szCs w:val="24"/>
        </w:rPr>
        <w:t>保证期间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至债务</w:t>
      </w:r>
      <w:r w:rsidR="00027799" w:rsidRPr="000D7C63">
        <w:rPr>
          <w:rFonts w:asciiTheme="minorEastAsia" w:eastAsiaTheme="minorEastAsia" w:hAnsiTheme="minorEastAsia" w:hint="eastAsia"/>
          <w:sz w:val="24"/>
          <w:szCs w:val="24"/>
        </w:rPr>
        <w:t>提前到期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之</w:t>
      </w:r>
      <w:r w:rsidR="00027799" w:rsidRPr="000D7C63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后三</w:t>
      </w:r>
      <w:r w:rsidR="00027799" w:rsidRPr="000D7C6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8436C">
        <w:rPr>
          <w:rFonts w:asciiTheme="minorEastAsia" w:eastAsiaTheme="minorEastAsia" w:hAnsiTheme="minorEastAsia" w:hint="eastAsia"/>
          <w:sz w:val="24"/>
          <w:szCs w:val="24"/>
        </w:rPr>
        <w:t>止</w:t>
      </w:r>
      <w:r w:rsidR="00027799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4B57F33" w14:textId="77777777" w:rsidR="00925528" w:rsidRPr="000D7C63" w:rsidRDefault="00925528" w:rsidP="00511D1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Pr="000D7C63">
        <w:rPr>
          <w:rFonts w:asciiTheme="minorEastAsia" w:eastAsiaTheme="minorEastAsia" w:hAnsiTheme="minorEastAsia"/>
          <w:b/>
          <w:sz w:val="24"/>
          <w:szCs w:val="24"/>
        </w:rPr>
        <w:t>、</w:t>
      </w:r>
      <w:r w:rsidR="00E72916" w:rsidRPr="000D7C63">
        <w:rPr>
          <w:rFonts w:asciiTheme="minorEastAsia" w:eastAsiaTheme="minorEastAsia" w:hAnsiTheme="minorEastAsia" w:hint="eastAsia"/>
          <w:b/>
          <w:sz w:val="24"/>
          <w:szCs w:val="24"/>
        </w:rPr>
        <w:t>董事会</w:t>
      </w:r>
      <w:r w:rsidRPr="000D7C63">
        <w:rPr>
          <w:rFonts w:asciiTheme="minorEastAsia" w:eastAsiaTheme="minorEastAsia" w:hAnsiTheme="minorEastAsia"/>
          <w:b/>
          <w:sz w:val="24"/>
          <w:szCs w:val="24"/>
        </w:rPr>
        <w:t>意见</w:t>
      </w:r>
    </w:p>
    <w:p w14:paraId="01DDAE42" w14:textId="5940025D" w:rsidR="00925528" w:rsidRPr="000D7C63" w:rsidRDefault="006C559D" w:rsidP="007806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公司第三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届董事会第</w:t>
      </w:r>
      <w:r w:rsidR="0041572B">
        <w:rPr>
          <w:rFonts w:asciiTheme="minorEastAsia" w:eastAsiaTheme="minorEastAsia" w:hAnsiTheme="minorEastAsia" w:hint="eastAsia"/>
          <w:sz w:val="24"/>
          <w:szCs w:val="24"/>
        </w:rPr>
        <w:t>二十八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次（</w:t>
      </w:r>
      <w:r w:rsidR="00C77413" w:rsidRPr="000D7C6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）会议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及</w:t>
      </w: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41572B">
        <w:rPr>
          <w:rFonts w:asciiTheme="minorEastAsia" w:eastAsiaTheme="minorEastAsia" w:hAnsiTheme="minorEastAsia"/>
          <w:sz w:val="24"/>
          <w:szCs w:val="24"/>
        </w:rPr>
        <w:t>9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A5FAA" w:rsidRPr="000D7C6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股东大会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审议通过了《关于审议公司及控股子公司20</w:t>
      </w:r>
      <w:r w:rsidR="0041572B">
        <w:rPr>
          <w:rFonts w:asciiTheme="minorEastAsia" w:eastAsiaTheme="minorEastAsia" w:hAnsiTheme="minorEastAsia"/>
          <w:sz w:val="24"/>
          <w:szCs w:val="24"/>
        </w:rPr>
        <w:t>20</w:t>
      </w:r>
      <w:r w:rsidR="00791765">
        <w:rPr>
          <w:rFonts w:asciiTheme="minorEastAsia" w:eastAsiaTheme="minorEastAsia" w:hAnsiTheme="minorEastAsia" w:hint="eastAsia"/>
          <w:sz w:val="24"/>
          <w:szCs w:val="24"/>
        </w:rPr>
        <w:t>年度预计新增融资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额度及担保额度的议案》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07B42" w:rsidRPr="000D7C63">
        <w:rPr>
          <w:rFonts w:asciiTheme="minorEastAsia" w:eastAsiaTheme="minorEastAsia" w:hAnsiTheme="minorEastAsia" w:hint="eastAsia"/>
          <w:sz w:val="24"/>
          <w:szCs w:val="24"/>
        </w:rPr>
        <w:t>本次担保</w:t>
      </w:r>
      <w:r w:rsidR="0078062B" w:rsidRPr="000D7C63">
        <w:rPr>
          <w:rFonts w:asciiTheme="minorEastAsia" w:eastAsiaTheme="minorEastAsia" w:hAnsiTheme="minorEastAsia" w:hint="eastAsia"/>
          <w:sz w:val="24"/>
          <w:szCs w:val="24"/>
        </w:rPr>
        <w:t>属于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前述</w:t>
      </w:r>
      <w:r w:rsidR="0078062B" w:rsidRPr="000D7C63">
        <w:rPr>
          <w:rFonts w:asciiTheme="minorEastAsia" w:eastAsiaTheme="minorEastAsia" w:hAnsiTheme="minorEastAsia" w:hint="eastAsia"/>
          <w:sz w:val="24"/>
          <w:szCs w:val="24"/>
        </w:rPr>
        <w:t>授权额度范围，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风险可控，公平对等，</w:t>
      </w:r>
      <w:r w:rsidR="00007B42" w:rsidRPr="000D7C63">
        <w:rPr>
          <w:rFonts w:asciiTheme="minorEastAsia" w:eastAsiaTheme="minorEastAsia" w:hAnsiTheme="minorEastAsia" w:hint="eastAsia"/>
          <w:sz w:val="24"/>
          <w:szCs w:val="24"/>
        </w:rPr>
        <w:t>不会损害公司利益。</w:t>
      </w:r>
    </w:p>
    <w:p w14:paraId="3072CE94" w14:textId="77777777" w:rsidR="00925528" w:rsidRPr="000D7C63" w:rsidRDefault="00925528" w:rsidP="00511D1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0D7C63">
        <w:rPr>
          <w:rFonts w:asciiTheme="minorEastAsia" w:eastAsiaTheme="minorEastAsia" w:hAnsiTheme="minorEastAsia"/>
          <w:b/>
          <w:sz w:val="24"/>
          <w:szCs w:val="24"/>
        </w:rPr>
        <w:t>、累计对外担保数量及逾期担保的数量</w:t>
      </w:r>
    </w:p>
    <w:p w14:paraId="3F6BCAE0" w14:textId="2B53B02E" w:rsidR="007E1502" w:rsidRPr="000D7C63" w:rsidRDefault="00205FD7" w:rsidP="002171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lastRenderedPageBreak/>
        <w:t>截</w:t>
      </w:r>
      <w:r w:rsidR="002B2881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0D7C63">
        <w:rPr>
          <w:rFonts w:asciiTheme="minorEastAsia" w:eastAsiaTheme="minorEastAsia" w:hAnsiTheme="minorEastAsia"/>
          <w:sz w:val="24"/>
          <w:szCs w:val="24"/>
        </w:rPr>
        <w:t>公告</w:t>
      </w:r>
      <w:r w:rsidR="00203A6E" w:rsidRPr="000D7C63">
        <w:rPr>
          <w:rFonts w:asciiTheme="minorEastAsia" w:eastAsiaTheme="minorEastAsia" w:hAnsiTheme="minorEastAsia"/>
          <w:sz w:val="24"/>
          <w:szCs w:val="24"/>
        </w:rPr>
        <w:t>披露</w:t>
      </w:r>
      <w:r w:rsidRPr="000D7C63">
        <w:rPr>
          <w:rFonts w:asciiTheme="minorEastAsia" w:eastAsiaTheme="minorEastAsia" w:hAnsiTheme="minorEastAsia"/>
          <w:sz w:val="24"/>
          <w:szCs w:val="24"/>
        </w:rPr>
        <w:t>日，</w:t>
      </w:r>
      <w:r w:rsidR="000D70EE" w:rsidRPr="000D70EE">
        <w:rPr>
          <w:rFonts w:asciiTheme="minorEastAsia" w:eastAsiaTheme="minorEastAsia" w:hAnsiTheme="minorEastAsia" w:hint="eastAsia"/>
          <w:sz w:val="24"/>
          <w:szCs w:val="24"/>
        </w:rPr>
        <w:t>公司及控</w:t>
      </w:r>
      <w:r w:rsidR="000D70EE" w:rsidRPr="005E4AA8">
        <w:rPr>
          <w:rFonts w:asciiTheme="minorEastAsia" w:eastAsiaTheme="minorEastAsia" w:hAnsiTheme="minorEastAsia" w:hint="eastAsia"/>
          <w:sz w:val="24"/>
          <w:szCs w:val="24"/>
        </w:rPr>
        <w:t>股子公司已提供的担保总额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CE7785" w:rsidRPr="005E4AA8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79176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F6991">
        <w:rPr>
          <w:rFonts w:asciiTheme="minorEastAsia" w:eastAsiaTheme="minorEastAsia" w:hAnsiTheme="minorEastAsia"/>
          <w:sz w:val="24"/>
          <w:szCs w:val="24"/>
        </w:rPr>
        <w:t>4.</w:t>
      </w:r>
      <w:r w:rsidR="00AB5753">
        <w:rPr>
          <w:rFonts w:asciiTheme="minorEastAsia" w:eastAsiaTheme="minorEastAsia" w:hAnsiTheme="minorEastAsia"/>
          <w:sz w:val="24"/>
          <w:szCs w:val="24"/>
        </w:rPr>
        <w:t>2</w:t>
      </w:r>
      <w:r w:rsidR="00791765">
        <w:rPr>
          <w:rFonts w:asciiTheme="minorEastAsia" w:eastAsiaTheme="minorEastAsia" w:hAnsiTheme="minorEastAsia" w:hint="eastAsia"/>
          <w:sz w:val="24"/>
          <w:szCs w:val="24"/>
        </w:rPr>
        <w:t>亿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1B256E" w:rsidRPr="005E4AA8">
        <w:rPr>
          <w:rFonts w:asciiTheme="minorEastAsia" w:eastAsiaTheme="minorEastAsia" w:hAnsiTheme="minorEastAsia"/>
          <w:sz w:val="24"/>
          <w:szCs w:val="24"/>
        </w:rPr>
        <w:t>，</w:t>
      </w:r>
      <w:r w:rsidR="002171DF" w:rsidRPr="005E4AA8">
        <w:rPr>
          <w:rFonts w:asciiTheme="minorEastAsia" w:eastAsiaTheme="minorEastAsia" w:hAnsiTheme="minorEastAsia"/>
          <w:sz w:val="24"/>
          <w:szCs w:val="24"/>
        </w:rPr>
        <w:t>占</w:t>
      </w:r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C64CEB" w:rsidRPr="00B65E5D">
        <w:rPr>
          <w:rFonts w:asciiTheme="minorEastAsia" w:eastAsiaTheme="minorEastAsia" w:hAnsiTheme="minorEastAsia"/>
          <w:sz w:val="24"/>
          <w:szCs w:val="24"/>
        </w:rPr>
        <w:t>9</w:t>
      </w:r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年</w:t>
      </w:r>
      <w:proofErr w:type="gramStart"/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末经</w:t>
      </w:r>
      <w:proofErr w:type="gramEnd"/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审计的公司净资产的</w:t>
      </w:r>
      <w:r w:rsidR="004F6991">
        <w:rPr>
          <w:rFonts w:asciiTheme="minorEastAsia" w:eastAsiaTheme="minorEastAsia" w:hAnsiTheme="minorEastAsia"/>
          <w:sz w:val="24"/>
          <w:szCs w:val="24"/>
        </w:rPr>
        <w:t>10</w:t>
      </w:r>
      <w:r w:rsidR="004D01F1">
        <w:rPr>
          <w:rFonts w:asciiTheme="minorEastAsia" w:eastAsiaTheme="minorEastAsia" w:hAnsiTheme="minorEastAsia"/>
          <w:sz w:val="24"/>
          <w:szCs w:val="24"/>
        </w:rPr>
        <w:t>.</w:t>
      </w:r>
      <w:r w:rsidR="004F6991">
        <w:rPr>
          <w:rFonts w:asciiTheme="minorEastAsia" w:eastAsiaTheme="minorEastAsia" w:hAnsiTheme="minorEastAsia"/>
          <w:sz w:val="24"/>
          <w:szCs w:val="24"/>
        </w:rPr>
        <w:t>3</w:t>
      </w:r>
      <w:r w:rsidR="004D01F1">
        <w:rPr>
          <w:rFonts w:asciiTheme="minorEastAsia" w:eastAsiaTheme="minorEastAsia" w:hAnsiTheme="minorEastAsia"/>
          <w:sz w:val="24"/>
          <w:szCs w:val="24"/>
        </w:rPr>
        <w:t>0</w:t>
      </w:r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171DF" w:rsidRPr="000D7C63">
        <w:rPr>
          <w:rFonts w:asciiTheme="minorEastAsia" w:eastAsiaTheme="minorEastAsia" w:hAnsiTheme="minorEastAsia" w:hint="eastAsia"/>
          <w:sz w:val="24"/>
          <w:szCs w:val="24"/>
        </w:rPr>
        <w:t>截止目前，公司无逾期</w:t>
      </w:r>
      <w:r w:rsidRPr="000D7C63">
        <w:rPr>
          <w:rFonts w:asciiTheme="minorEastAsia" w:eastAsiaTheme="minorEastAsia" w:hAnsiTheme="minorEastAsia"/>
          <w:sz w:val="24"/>
          <w:szCs w:val="24"/>
        </w:rPr>
        <w:t>对外担保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5AA3B20" w14:textId="77777777" w:rsidR="00791765" w:rsidRDefault="00791765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2552CC51" w14:textId="77777777" w:rsidR="00CE3C86" w:rsidRPr="000D7C63" w:rsidRDefault="00AC7A56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74750A34" w14:textId="77777777" w:rsidR="00A01677" w:rsidRPr="000D7C63" w:rsidRDefault="00A01677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4915515F" w14:textId="77777777" w:rsidR="00673DE7" w:rsidRPr="000D7C63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14:paraId="51DF7351" w14:textId="0A21E289" w:rsidR="006825AF" w:rsidRPr="007570DA" w:rsidRDefault="006C559D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>
        <w:rPr>
          <w:rFonts w:asciiTheme="minorEastAsia" w:eastAsiaTheme="minorEastAsia" w:hAnsiTheme="minorEastAsia" w:cs="KAPJJC+ËÎÌå" w:hint="eastAsia"/>
          <w:color w:val="000000"/>
          <w:sz w:val="24"/>
        </w:rPr>
        <w:t>20</w:t>
      </w:r>
      <w:r>
        <w:rPr>
          <w:rFonts w:asciiTheme="minorEastAsia" w:eastAsiaTheme="minorEastAsia" w:hAnsiTheme="minorEastAsia" w:cs="KAPJJC+ËÎÌå"/>
          <w:color w:val="000000"/>
          <w:sz w:val="24"/>
        </w:rPr>
        <w:t>20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4F6991">
        <w:rPr>
          <w:rFonts w:asciiTheme="minorEastAsia" w:eastAsiaTheme="minorEastAsia" w:hAnsiTheme="minorEastAsia" w:cs="KAPJJC+ËÎÌå"/>
          <w:color w:val="000000"/>
          <w:sz w:val="24"/>
        </w:rPr>
        <w:t>7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4F6991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9BF2" w14:textId="77777777" w:rsidR="007A61B6" w:rsidRDefault="007A61B6" w:rsidP="00FC3A11">
      <w:r>
        <w:separator/>
      </w:r>
    </w:p>
  </w:endnote>
  <w:endnote w:type="continuationSeparator" w:id="0">
    <w:p w14:paraId="1E7F964C" w14:textId="77777777" w:rsidR="007A61B6" w:rsidRDefault="007A61B6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951728"/>
      <w:docPartObj>
        <w:docPartGallery w:val="Page Numbers (Bottom of Page)"/>
        <w:docPartUnique/>
      </w:docPartObj>
    </w:sdtPr>
    <w:sdtEndPr/>
    <w:sdtContent>
      <w:p w14:paraId="0E474A05" w14:textId="77777777" w:rsidR="00C91AF5" w:rsidRDefault="0091569E" w:rsidP="005113C4">
        <w:pPr>
          <w:pStyle w:val="ad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F97ABA" w:rsidRPr="00F97ABA">
          <w:rPr>
            <w:noProof/>
            <w:lang w:val="zh-CN"/>
          </w:rPr>
          <w:t>3</w:t>
        </w:r>
        <w:r>
          <w:fldChar w:fldCharType="end"/>
        </w:r>
      </w:p>
    </w:sdtContent>
  </w:sdt>
  <w:p w14:paraId="5FEF5D02" w14:textId="77777777" w:rsidR="00C91AF5" w:rsidRDefault="00C91A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E17AD" w14:textId="77777777" w:rsidR="007A61B6" w:rsidRDefault="007A61B6" w:rsidP="00FC3A11">
      <w:r>
        <w:separator/>
      </w:r>
    </w:p>
  </w:footnote>
  <w:footnote w:type="continuationSeparator" w:id="0">
    <w:p w14:paraId="422C4991" w14:textId="77777777" w:rsidR="007A61B6" w:rsidRDefault="007A61B6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902"/>
    <w:multiLevelType w:val="hybridMultilevel"/>
    <w:tmpl w:val="0108E4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56"/>
    <w:rsid w:val="0000667D"/>
    <w:rsid w:val="00007B42"/>
    <w:rsid w:val="00011828"/>
    <w:rsid w:val="000126A2"/>
    <w:rsid w:val="0002318A"/>
    <w:rsid w:val="000251E1"/>
    <w:rsid w:val="00027799"/>
    <w:rsid w:val="000302D3"/>
    <w:rsid w:val="0003691A"/>
    <w:rsid w:val="00061F27"/>
    <w:rsid w:val="000620C6"/>
    <w:rsid w:val="000813CF"/>
    <w:rsid w:val="0008181C"/>
    <w:rsid w:val="00082567"/>
    <w:rsid w:val="0008654E"/>
    <w:rsid w:val="0009464B"/>
    <w:rsid w:val="0009504D"/>
    <w:rsid w:val="0009644C"/>
    <w:rsid w:val="000A009A"/>
    <w:rsid w:val="000A591B"/>
    <w:rsid w:val="000A7B1A"/>
    <w:rsid w:val="000B5567"/>
    <w:rsid w:val="000B6294"/>
    <w:rsid w:val="000C21B9"/>
    <w:rsid w:val="000D1025"/>
    <w:rsid w:val="000D5581"/>
    <w:rsid w:val="000D6099"/>
    <w:rsid w:val="000D70EE"/>
    <w:rsid w:val="000D738C"/>
    <w:rsid w:val="000D7C63"/>
    <w:rsid w:val="000E7C8E"/>
    <w:rsid w:val="000F1C51"/>
    <w:rsid w:val="000F3B55"/>
    <w:rsid w:val="00105C56"/>
    <w:rsid w:val="00131EA3"/>
    <w:rsid w:val="001564CF"/>
    <w:rsid w:val="001710AF"/>
    <w:rsid w:val="001717C4"/>
    <w:rsid w:val="00176150"/>
    <w:rsid w:val="0018597A"/>
    <w:rsid w:val="00190F35"/>
    <w:rsid w:val="00197B2C"/>
    <w:rsid w:val="001A3667"/>
    <w:rsid w:val="001B256E"/>
    <w:rsid w:val="001B5110"/>
    <w:rsid w:val="001C210D"/>
    <w:rsid w:val="001C5C16"/>
    <w:rsid w:val="001D0ED6"/>
    <w:rsid w:val="001D4C12"/>
    <w:rsid w:val="001D4D62"/>
    <w:rsid w:val="001D5CDD"/>
    <w:rsid w:val="001D74B9"/>
    <w:rsid w:val="001E4FE9"/>
    <w:rsid w:val="001F1325"/>
    <w:rsid w:val="001F79AC"/>
    <w:rsid w:val="00203A6E"/>
    <w:rsid w:val="0020491C"/>
    <w:rsid w:val="00205FD7"/>
    <w:rsid w:val="002171DF"/>
    <w:rsid w:val="002278D6"/>
    <w:rsid w:val="00231E1B"/>
    <w:rsid w:val="00233E3F"/>
    <w:rsid w:val="00241C2B"/>
    <w:rsid w:val="002448BD"/>
    <w:rsid w:val="00252182"/>
    <w:rsid w:val="00253B58"/>
    <w:rsid w:val="002551EA"/>
    <w:rsid w:val="00263CBC"/>
    <w:rsid w:val="0027022A"/>
    <w:rsid w:val="00271F06"/>
    <w:rsid w:val="00282DF2"/>
    <w:rsid w:val="00286006"/>
    <w:rsid w:val="002A58D5"/>
    <w:rsid w:val="002B2881"/>
    <w:rsid w:val="002B2F18"/>
    <w:rsid w:val="002B3B5C"/>
    <w:rsid w:val="002C1640"/>
    <w:rsid w:val="002C23F0"/>
    <w:rsid w:val="002C5A80"/>
    <w:rsid w:val="002D2871"/>
    <w:rsid w:val="002D47C7"/>
    <w:rsid w:val="002D500E"/>
    <w:rsid w:val="002D509B"/>
    <w:rsid w:val="002E0C18"/>
    <w:rsid w:val="002E6057"/>
    <w:rsid w:val="00300275"/>
    <w:rsid w:val="00301560"/>
    <w:rsid w:val="00307599"/>
    <w:rsid w:val="00311632"/>
    <w:rsid w:val="00317AC0"/>
    <w:rsid w:val="00321773"/>
    <w:rsid w:val="00335E53"/>
    <w:rsid w:val="0033784C"/>
    <w:rsid w:val="00347138"/>
    <w:rsid w:val="00353E35"/>
    <w:rsid w:val="003604A6"/>
    <w:rsid w:val="0037295F"/>
    <w:rsid w:val="00373505"/>
    <w:rsid w:val="00376422"/>
    <w:rsid w:val="0038288C"/>
    <w:rsid w:val="003833C0"/>
    <w:rsid w:val="00395950"/>
    <w:rsid w:val="003A32C3"/>
    <w:rsid w:val="003A3A1F"/>
    <w:rsid w:val="003A4547"/>
    <w:rsid w:val="003A5CFD"/>
    <w:rsid w:val="003B0F77"/>
    <w:rsid w:val="003D5115"/>
    <w:rsid w:val="003E5825"/>
    <w:rsid w:val="003F1311"/>
    <w:rsid w:val="003F153C"/>
    <w:rsid w:val="003F4E3A"/>
    <w:rsid w:val="00405498"/>
    <w:rsid w:val="00406B9E"/>
    <w:rsid w:val="00411786"/>
    <w:rsid w:val="0041572B"/>
    <w:rsid w:val="00416C81"/>
    <w:rsid w:val="00417A35"/>
    <w:rsid w:val="0042073A"/>
    <w:rsid w:val="004211D6"/>
    <w:rsid w:val="004277A0"/>
    <w:rsid w:val="00427F10"/>
    <w:rsid w:val="00443414"/>
    <w:rsid w:val="004451A8"/>
    <w:rsid w:val="004502BB"/>
    <w:rsid w:val="00453672"/>
    <w:rsid w:val="00462AFB"/>
    <w:rsid w:val="00466DF0"/>
    <w:rsid w:val="004719C3"/>
    <w:rsid w:val="00472986"/>
    <w:rsid w:val="0047340C"/>
    <w:rsid w:val="004770A2"/>
    <w:rsid w:val="00481724"/>
    <w:rsid w:val="004846DF"/>
    <w:rsid w:val="00485FEE"/>
    <w:rsid w:val="00491614"/>
    <w:rsid w:val="00492A8C"/>
    <w:rsid w:val="004A3A5C"/>
    <w:rsid w:val="004A6536"/>
    <w:rsid w:val="004B0D84"/>
    <w:rsid w:val="004B170C"/>
    <w:rsid w:val="004B4AD7"/>
    <w:rsid w:val="004B4B81"/>
    <w:rsid w:val="004B6C24"/>
    <w:rsid w:val="004C2104"/>
    <w:rsid w:val="004C4541"/>
    <w:rsid w:val="004C5CF6"/>
    <w:rsid w:val="004D01F1"/>
    <w:rsid w:val="004D343F"/>
    <w:rsid w:val="004E0FFE"/>
    <w:rsid w:val="004E272B"/>
    <w:rsid w:val="004E74FC"/>
    <w:rsid w:val="004F6991"/>
    <w:rsid w:val="004F7A55"/>
    <w:rsid w:val="005113C4"/>
    <w:rsid w:val="00511D1E"/>
    <w:rsid w:val="00512092"/>
    <w:rsid w:val="00514D79"/>
    <w:rsid w:val="005156FC"/>
    <w:rsid w:val="00527F7F"/>
    <w:rsid w:val="00530106"/>
    <w:rsid w:val="0053036C"/>
    <w:rsid w:val="00545CF6"/>
    <w:rsid w:val="005461A4"/>
    <w:rsid w:val="00553C33"/>
    <w:rsid w:val="00553D4F"/>
    <w:rsid w:val="00560BCF"/>
    <w:rsid w:val="00570FEA"/>
    <w:rsid w:val="00576F6A"/>
    <w:rsid w:val="0058436C"/>
    <w:rsid w:val="005860EC"/>
    <w:rsid w:val="00587138"/>
    <w:rsid w:val="005945E9"/>
    <w:rsid w:val="00597FCE"/>
    <w:rsid w:val="005A12D6"/>
    <w:rsid w:val="005A4B54"/>
    <w:rsid w:val="005A603F"/>
    <w:rsid w:val="005A6B95"/>
    <w:rsid w:val="005C184B"/>
    <w:rsid w:val="005C1C70"/>
    <w:rsid w:val="005E3352"/>
    <w:rsid w:val="005E4AA8"/>
    <w:rsid w:val="005F161A"/>
    <w:rsid w:val="005F2EF4"/>
    <w:rsid w:val="005F77BB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6E72"/>
    <w:rsid w:val="00660C80"/>
    <w:rsid w:val="006633FD"/>
    <w:rsid w:val="00667EEF"/>
    <w:rsid w:val="00672DA4"/>
    <w:rsid w:val="00673DE7"/>
    <w:rsid w:val="006751FD"/>
    <w:rsid w:val="006800B8"/>
    <w:rsid w:val="006805FD"/>
    <w:rsid w:val="006825AF"/>
    <w:rsid w:val="00683789"/>
    <w:rsid w:val="0068650D"/>
    <w:rsid w:val="006A114E"/>
    <w:rsid w:val="006B0901"/>
    <w:rsid w:val="006C4414"/>
    <w:rsid w:val="006C559D"/>
    <w:rsid w:val="006C58C6"/>
    <w:rsid w:val="006C6382"/>
    <w:rsid w:val="006D4C63"/>
    <w:rsid w:val="006D5C37"/>
    <w:rsid w:val="006F2921"/>
    <w:rsid w:val="006F4B00"/>
    <w:rsid w:val="006F57D1"/>
    <w:rsid w:val="0071752E"/>
    <w:rsid w:val="00717EA4"/>
    <w:rsid w:val="00717EA7"/>
    <w:rsid w:val="0072153C"/>
    <w:rsid w:val="00724D10"/>
    <w:rsid w:val="007264A6"/>
    <w:rsid w:val="00726E04"/>
    <w:rsid w:val="007301A0"/>
    <w:rsid w:val="007447F9"/>
    <w:rsid w:val="00750F9A"/>
    <w:rsid w:val="007570DA"/>
    <w:rsid w:val="00761F33"/>
    <w:rsid w:val="00765E1E"/>
    <w:rsid w:val="007739E7"/>
    <w:rsid w:val="00773A93"/>
    <w:rsid w:val="00775C35"/>
    <w:rsid w:val="00776114"/>
    <w:rsid w:val="00777349"/>
    <w:rsid w:val="0078062B"/>
    <w:rsid w:val="00791765"/>
    <w:rsid w:val="00791ADE"/>
    <w:rsid w:val="00791D5E"/>
    <w:rsid w:val="007A593C"/>
    <w:rsid w:val="007A61B6"/>
    <w:rsid w:val="007B05CC"/>
    <w:rsid w:val="007B1146"/>
    <w:rsid w:val="007B4759"/>
    <w:rsid w:val="007B77A9"/>
    <w:rsid w:val="007C6DA4"/>
    <w:rsid w:val="007D062F"/>
    <w:rsid w:val="007D0E86"/>
    <w:rsid w:val="007E1502"/>
    <w:rsid w:val="007E5C79"/>
    <w:rsid w:val="007F08A2"/>
    <w:rsid w:val="007F52A2"/>
    <w:rsid w:val="007F5B01"/>
    <w:rsid w:val="007F72E5"/>
    <w:rsid w:val="007F7AE4"/>
    <w:rsid w:val="00803BA1"/>
    <w:rsid w:val="00805AE6"/>
    <w:rsid w:val="008120F8"/>
    <w:rsid w:val="00812BEF"/>
    <w:rsid w:val="008232F0"/>
    <w:rsid w:val="008307BE"/>
    <w:rsid w:val="00836970"/>
    <w:rsid w:val="00842121"/>
    <w:rsid w:val="00846A59"/>
    <w:rsid w:val="0085620D"/>
    <w:rsid w:val="00876AF9"/>
    <w:rsid w:val="00881D12"/>
    <w:rsid w:val="00881E17"/>
    <w:rsid w:val="00887ADC"/>
    <w:rsid w:val="00892D43"/>
    <w:rsid w:val="00894E52"/>
    <w:rsid w:val="008A2BBA"/>
    <w:rsid w:val="008A4154"/>
    <w:rsid w:val="008A567E"/>
    <w:rsid w:val="008B49AB"/>
    <w:rsid w:val="008C0CB9"/>
    <w:rsid w:val="008C59FB"/>
    <w:rsid w:val="008D10CF"/>
    <w:rsid w:val="008D20E1"/>
    <w:rsid w:val="008E0AB4"/>
    <w:rsid w:val="008F251D"/>
    <w:rsid w:val="008F4E85"/>
    <w:rsid w:val="00900E0C"/>
    <w:rsid w:val="0090236A"/>
    <w:rsid w:val="00912245"/>
    <w:rsid w:val="009149F8"/>
    <w:rsid w:val="0091569E"/>
    <w:rsid w:val="00917EF8"/>
    <w:rsid w:val="00920153"/>
    <w:rsid w:val="00925528"/>
    <w:rsid w:val="009264AF"/>
    <w:rsid w:val="00926722"/>
    <w:rsid w:val="00956248"/>
    <w:rsid w:val="009602F3"/>
    <w:rsid w:val="00962E12"/>
    <w:rsid w:val="00972932"/>
    <w:rsid w:val="0097779C"/>
    <w:rsid w:val="009830FA"/>
    <w:rsid w:val="00985236"/>
    <w:rsid w:val="009912AB"/>
    <w:rsid w:val="00991860"/>
    <w:rsid w:val="00994BF5"/>
    <w:rsid w:val="00996DC6"/>
    <w:rsid w:val="009A243B"/>
    <w:rsid w:val="009A2F26"/>
    <w:rsid w:val="009A36AA"/>
    <w:rsid w:val="009C29CB"/>
    <w:rsid w:val="009D3CE4"/>
    <w:rsid w:val="009D59D9"/>
    <w:rsid w:val="009D759B"/>
    <w:rsid w:val="009E1FC4"/>
    <w:rsid w:val="009E37E8"/>
    <w:rsid w:val="009E5901"/>
    <w:rsid w:val="009E71FA"/>
    <w:rsid w:val="009F230C"/>
    <w:rsid w:val="009F539E"/>
    <w:rsid w:val="00A01677"/>
    <w:rsid w:val="00A03D3C"/>
    <w:rsid w:val="00A12459"/>
    <w:rsid w:val="00A12FD7"/>
    <w:rsid w:val="00A213A0"/>
    <w:rsid w:val="00A24030"/>
    <w:rsid w:val="00A31200"/>
    <w:rsid w:val="00A46757"/>
    <w:rsid w:val="00A46A73"/>
    <w:rsid w:val="00A50C5C"/>
    <w:rsid w:val="00A57B15"/>
    <w:rsid w:val="00A635BB"/>
    <w:rsid w:val="00A75CDE"/>
    <w:rsid w:val="00A77202"/>
    <w:rsid w:val="00A80987"/>
    <w:rsid w:val="00A8290D"/>
    <w:rsid w:val="00A90BF0"/>
    <w:rsid w:val="00A90DA1"/>
    <w:rsid w:val="00AA22DF"/>
    <w:rsid w:val="00AA39C9"/>
    <w:rsid w:val="00AA6222"/>
    <w:rsid w:val="00AB3587"/>
    <w:rsid w:val="00AB5753"/>
    <w:rsid w:val="00AB7234"/>
    <w:rsid w:val="00AC5D96"/>
    <w:rsid w:val="00AC62D9"/>
    <w:rsid w:val="00AC7A56"/>
    <w:rsid w:val="00AD7BC5"/>
    <w:rsid w:val="00AF063A"/>
    <w:rsid w:val="00B32A8F"/>
    <w:rsid w:val="00B348C0"/>
    <w:rsid w:val="00B404D8"/>
    <w:rsid w:val="00B50EC3"/>
    <w:rsid w:val="00B516D5"/>
    <w:rsid w:val="00B567BE"/>
    <w:rsid w:val="00B574BF"/>
    <w:rsid w:val="00B61D4B"/>
    <w:rsid w:val="00B64718"/>
    <w:rsid w:val="00B7767B"/>
    <w:rsid w:val="00BA2F9D"/>
    <w:rsid w:val="00BA4F7A"/>
    <w:rsid w:val="00BA5987"/>
    <w:rsid w:val="00BA767C"/>
    <w:rsid w:val="00BB2D53"/>
    <w:rsid w:val="00BB7576"/>
    <w:rsid w:val="00BC0386"/>
    <w:rsid w:val="00BC1601"/>
    <w:rsid w:val="00BD65F9"/>
    <w:rsid w:val="00BE33C0"/>
    <w:rsid w:val="00BF620F"/>
    <w:rsid w:val="00BF6BD8"/>
    <w:rsid w:val="00C219DE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4CEB"/>
    <w:rsid w:val="00C75A20"/>
    <w:rsid w:val="00C77413"/>
    <w:rsid w:val="00C80DF5"/>
    <w:rsid w:val="00C91AF5"/>
    <w:rsid w:val="00C92E37"/>
    <w:rsid w:val="00CA3FD8"/>
    <w:rsid w:val="00CB1FEF"/>
    <w:rsid w:val="00CB2A9C"/>
    <w:rsid w:val="00CB4CDD"/>
    <w:rsid w:val="00CC15DC"/>
    <w:rsid w:val="00CD1371"/>
    <w:rsid w:val="00CD6251"/>
    <w:rsid w:val="00CE11A7"/>
    <w:rsid w:val="00CE1C40"/>
    <w:rsid w:val="00CE3C86"/>
    <w:rsid w:val="00CE445A"/>
    <w:rsid w:val="00CE4745"/>
    <w:rsid w:val="00CE55B9"/>
    <w:rsid w:val="00CE7785"/>
    <w:rsid w:val="00CF08AA"/>
    <w:rsid w:val="00CF32CE"/>
    <w:rsid w:val="00D00374"/>
    <w:rsid w:val="00D009BE"/>
    <w:rsid w:val="00D025FD"/>
    <w:rsid w:val="00D31F42"/>
    <w:rsid w:val="00D42E3F"/>
    <w:rsid w:val="00D43E62"/>
    <w:rsid w:val="00D4542C"/>
    <w:rsid w:val="00D509D1"/>
    <w:rsid w:val="00D64CBA"/>
    <w:rsid w:val="00D64E1B"/>
    <w:rsid w:val="00D7323F"/>
    <w:rsid w:val="00D9678E"/>
    <w:rsid w:val="00DA5FAA"/>
    <w:rsid w:val="00DC0110"/>
    <w:rsid w:val="00DC28D7"/>
    <w:rsid w:val="00DD04D0"/>
    <w:rsid w:val="00DE3426"/>
    <w:rsid w:val="00DE6B0B"/>
    <w:rsid w:val="00DE7F25"/>
    <w:rsid w:val="00DF19B6"/>
    <w:rsid w:val="00DF3179"/>
    <w:rsid w:val="00E02F45"/>
    <w:rsid w:val="00E06881"/>
    <w:rsid w:val="00E07E65"/>
    <w:rsid w:val="00E14135"/>
    <w:rsid w:val="00E142C4"/>
    <w:rsid w:val="00E16537"/>
    <w:rsid w:val="00E20746"/>
    <w:rsid w:val="00E236C9"/>
    <w:rsid w:val="00E32F3A"/>
    <w:rsid w:val="00E32FAC"/>
    <w:rsid w:val="00E35BB9"/>
    <w:rsid w:val="00E36ADB"/>
    <w:rsid w:val="00E36D22"/>
    <w:rsid w:val="00E5567B"/>
    <w:rsid w:val="00E63CC0"/>
    <w:rsid w:val="00E64FAE"/>
    <w:rsid w:val="00E67191"/>
    <w:rsid w:val="00E679E0"/>
    <w:rsid w:val="00E70423"/>
    <w:rsid w:val="00E72916"/>
    <w:rsid w:val="00E73BEB"/>
    <w:rsid w:val="00E819FA"/>
    <w:rsid w:val="00E83313"/>
    <w:rsid w:val="00E85548"/>
    <w:rsid w:val="00E87223"/>
    <w:rsid w:val="00E976E0"/>
    <w:rsid w:val="00EA0F0A"/>
    <w:rsid w:val="00EA2F8E"/>
    <w:rsid w:val="00EA6D04"/>
    <w:rsid w:val="00EB1EA9"/>
    <w:rsid w:val="00EC5876"/>
    <w:rsid w:val="00EC6697"/>
    <w:rsid w:val="00EC69F7"/>
    <w:rsid w:val="00EE4A20"/>
    <w:rsid w:val="00EE78BA"/>
    <w:rsid w:val="00EF619D"/>
    <w:rsid w:val="00F00A7E"/>
    <w:rsid w:val="00F02143"/>
    <w:rsid w:val="00F07AC4"/>
    <w:rsid w:val="00F15C51"/>
    <w:rsid w:val="00F20419"/>
    <w:rsid w:val="00F2080F"/>
    <w:rsid w:val="00F2586F"/>
    <w:rsid w:val="00F52E92"/>
    <w:rsid w:val="00F548E7"/>
    <w:rsid w:val="00F57387"/>
    <w:rsid w:val="00F57D86"/>
    <w:rsid w:val="00F60F28"/>
    <w:rsid w:val="00F62C3F"/>
    <w:rsid w:val="00F64FF2"/>
    <w:rsid w:val="00F65C56"/>
    <w:rsid w:val="00F66F81"/>
    <w:rsid w:val="00F7112D"/>
    <w:rsid w:val="00F71E33"/>
    <w:rsid w:val="00F816B8"/>
    <w:rsid w:val="00F87036"/>
    <w:rsid w:val="00F91E8D"/>
    <w:rsid w:val="00F97ABA"/>
    <w:rsid w:val="00FC0759"/>
    <w:rsid w:val="00FC3A11"/>
    <w:rsid w:val="00FC7AD5"/>
    <w:rsid w:val="00FD2C43"/>
    <w:rsid w:val="00FD41A3"/>
    <w:rsid w:val="00FD4327"/>
    <w:rsid w:val="00FD7C48"/>
    <w:rsid w:val="00FE21CA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C4EF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8378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78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837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f0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33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10B8-BBF1-4999-831D-D2C8452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M Q</cp:lastModifiedBy>
  <cp:revision>23</cp:revision>
  <cp:lastPrinted>2017-01-13T08:35:00Z</cp:lastPrinted>
  <dcterms:created xsi:type="dcterms:W3CDTF">2018-07-02T07:24:00Z</dcterms:created>
  <dcterms:modified xsi:type="dcterms:W3CDTF">2020-07-08T06:59:00Z</dcterms:modified>
</cp:coreProperties>
</file>