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19AC0" w14:textId="3E6CB218" w:rsidR="00EB670F" w:rsidRPr="00972B52" w:rsidRDefault="00EB670F" w:rsidP="001441E1">
      <w:pPr>
        <w:tabs>
          <w:tab w:val="left" w:pos="795"/>
        </w:tabs>
        <w:rPr>
          <w:rFonts w:asciiTheme="minorEastAsia" w:eastAsiaTheme="minorEastAsia" w:hAnsiTheme="minorEastAsia"/>
          <w:sz w:val="24"/>
          <w:szCs w:val="24"/>
        </w:rPr>
      </w:pPr>
      <w:r w:rsidRPr="00972B52">
        <w:rPr>
          <w:rFonts w:asciiTheme="minorEastAsia" w:eastAsiaTheme="minorEastAsia" w:hAnsiTheme="minorEastAsia"/>
          <w:sz w:val="24"/>
          <w:szCs w:val="24"/>
        </w:rPr>
        <w:t xml:space="preserve">证券代码：603858  </w:t>
      </w:r>
      <w:r w:rsidR="00E55407" w:rsidRPr="00972B52">
        <w:rPr>
          <w:rFonts w:asciiTheme="minorEastAsia" w:eastAsiaTheme="minorEastAsia" w:hAnsiTheme="minorEastAsia"/>
          <w:sz w:val="24"/>
          <w:szCs w:val="24"/>
        </w:rPr>
        <w:t xml:space="preserve">    </w:t>
      </w:r>
      <w:r w:rsidRPr="00972B52">
        <w:rPr>
          <w:rFonts w:asciiTheme="minorEastAsia" w:eastAsiaTheme="minorEastAsia" w:hAnsiTheme="minorEastAsia"/>
          <w:sz w:val="24"/>
          <w:szCs w:val="24"/>
        </w:rPr>
        <w:t xml:space="preserve">   证券简称：步长制药    </w:t>
      </w:r>
      <w:r w:rsidR="00E55407" w:rsidRPr="00972B52">
        <w:rPr>
          <w:rFonts w:asciiTheme="minorEastAsia" w:eastAsiaTheme="minorEastAsia" w:hAnsiTheme="minorEastAsia"/>
          <w:sz w:val="24"/>
          <w:szCs w:val="24"/>
        </w:rPr>
        <w:t xml:space="preserve">   </w:t>
      </w:r>
      <w:r w:rsidRPr="00972B52">
        <w:rPr>
          <w:rFonts w:asciiTheme="minorEastAsia" w:eastAsiaTheme="minorEastAsia" w:hAnsiTheme="minorEastAsia"/>
          <w:sz w:val="24"/>
          <w:szCs w:val="24"/>
        </w:rPr>
        <w:t xml:space="preserve">   公告编号：201</w:t>
      </w:r>
      <w:r w:rsidR="00281D35" w:rsidRPr="00972B52">
        <w:rPr>
          <w:rFonts w:asciiTheme="minorEastAsia" w:eastAsiaTheme="minorEastAsia" w:hAnsiTheme="minorEastAsia"/>
          <w:sz w:val="24"/>
          <w:szCs w:val="24"/>
        </w:rPr>
        <w:t>9</w:t>
      </w:r>
      <w:r w:rsidRPr="00972B52">
        <w:rPr>
          <w:rFonts w:asciiTheme="minorEastAsia" w:eastAsiaTheme="minorEastAsia" w:hAnsiTheme="minorEastAsia"/>
          <w:sz w:val="24"/>
          <w:szCs w:val="24"/>
        </w:rPr>
        <w:t>-</w:t>
      </w:r>
      <w:r w:rsidR="00D31A81" w:rsidRPr="00972B52">
        <w:rPr>
          <w:rFonts w:asciiTheme="minorEastAsia" w:eastAsiaTheme="minorEastAsia" w:hAnsiTheme="minorEastAsia"/>
          <w:sz w:val="24"/>
          <w:szCs w:val="24"/>
        </w:rPr>
        <w:t>125</w:t>
      </w:r>
    </w:p>
    <w:p w14:paraId="3E5A7B1C" w14:textId="77777777" w:rsidR="009070EC" w:rsidRPr="00972B52" w:rsidRDefault="009070EC" w:rsidP="009070EC">
      <w:pPr>
        <w:spacing w:line="360" w:lineRule="auto"/>
        <w:rPr>
          <w:rFonts w:asciiTheme="minorEastAsia" w:eastAsiaTheme="minorEastAsia" w:hAnsiTheme="minorEastAsia"/>
          <w:b/>
          <w:sz w:val="36"/>
          <w:szCs w:val="36"/>
        </w:rPr>
      </w:pPr>
    </w:p>
    <w:p w14:paraId="3031C654" w14:textId="77777777" w:rsidR="00EB670F" w:rsidRPr="00972B52" w:rsidRDefault="00EB670F" w:rsidP="002B6B80">
      <w:pPr>
        <w:spacing w:beforeLines="50" w:before="156" w:afterLines="50" w:after="156" w:line="300" w:lineRule="auto"/>
        <w:ind w:leftChars="202" w:left="424" w:rightChars="269" w:right="565"/>
        <w:jc w:val="center"/>
        <w:rPr>
          <w:rFonts w:asciiTheme="minorEastAsia" w:eastAsiaTheme="minorEastAsia" w:hAnsiTheme="minorEastAsia"/>
          <w:b/>
          <w:color w:val="FF0000"/>
          <w:sz w:val="36"/>
          <w:szCs w:val="36"/>
        </w:rPr>
      </w:pPr>
      <w:r w:rsidRPr="00972B52">
        <w:rPr>
          <w:rFonts w:asciiTheme="minorEastAsia" w:eastAsiaTheme="minorEastAsia" w:hAnsiTheme="minorEastAsia"/>
          <w:b/>
          <w:color w:val="FF0000"/>
          <w:sz w:val="36"/>
          <w:szCs w:val="36"/>
        </w:rPr>
        <w:t xml:space="preserve">山东步长制药股份有限公司  </w:t>
      </w:r>
    </w:p>
    <w:p w14:paraId="36E448EE" w14:textId="16879C85" w:rsidR="00972B52" w:rsidRDefault="00D31A81" w:rsidP="00F02DD7">
      <w:pPr>
        <w:spacing w:beforeLines="50" w:before="156" w:afterLines="50" w:after="156" w:line="300" w:lineRule="auto"/>
        <w:jc w:val="center"/>
        <w:rPr>
          <w:rFonts w:asciiTheme="minorEastAsia" w:eastAsiaTheme="minorEastAsia" w:hAnsiTheme="minorEastAsia"/>
          <w:b/>
          <w:color w:val="FF0000"/>
          <w:sz w:val="36"/>
          <w:szCs w:val="36"/>
        </w:rPr>
      </w:pPr>
      <w:r w:rsidRPr="00972B52">
        <w:rPr>
          <w:rFonts w:asciiTheme="minorEastAsia" w:eastAsiaTheme="minorEastAsia" w:hAnsiTheme="minorEastAsia" w:hint="eastAsia"/>
          <w:b/>
          <w:color w:val="FF0000"/>
          <w:sz w:val="36"/>
          <w:szCs w:val="36"/>
        </w:rPr>
        <w:t>关于</w:t>
      </w:r>
      <w:r w:rsidR="00DC3E43" w:rsidRPr="00972B52">
        <w:rPr>
          <w:rFonts w:asciiTheme="minorEastAsia" w:eastAsiaTheme="minorEastAsia" w:hAnsiTheme="minorEastAsia" w:hint="eastAsia"/>
          <w:b/>
          <w:color w:val="FF0000"/>
          <w:sz w:val="36"/>
          <w:szCs w:val="36"/>
        </w:rPr>
        <w:t>调整利润分配方案</w:t>
      </w:r>
      <w:r w:rsidR="00821B16">
        <w:rPr>
          <w:rFonts w:asciiTheme="minorEastAsia" w:eastAsiaTheme="minorEastAsia" w:hAnsiTheme="minorEastAsia" w:hint="eastAsia"/>
          <w:b/>
          <w:color w:val="FF0000"/>
          <w:sz w:val="36"/>
          <w:szCs w:val="36"/>
        </w:rPr>
        <w:t>、</w:t>
      </w:r>
      <w:bookmarkStart w:id="0" w:name="_GoBack"/>
      <w:bookmarkEnd w:id="0"/>
      <w:r w:rsidRPr="00972B52">
        <w:rPr>
          <w:rFonts w:asciiTheme="minorEastAsia" w:eastAsiaTheme="minorEastAsia" w:hAnsiTheme="minorEastAsia" w:hint="eastAsia"/>
          <w:b/>
          <w:color w:val="FF0000"/>
          <w:sz w:val="36"/>
          <w:szCs w:val="36"/>
        </w:rPr>
        <w:t>增加注册资本</w:t>
      </w:r>
    </w:p>
    <w:p w14:paraId="0092403D" w14:textId="6ECEB06B" w:rsidR="00EB670F" w:rsidRPr="00972B52" w:rsidRDefault="00D31A81" w:rsidP="00F02DD7">
      <w:pPr>
        <w:spacing w:beforeLines="50" w:before="156" w:afterLines="50" w:after="156" w:line="300" w:lineRule="auto"/>
        <w:jc w:val="center"/>
        <w:rPr>
          <w:rFonts w:asciiTheme="minorEastAsia" w:eastAsiaTheme="minorEastAsia" w:hAnsiTheme="minorEastAsia"/>
          <w:b/>
          <w:color w:val="FF0000"/>
          <w:sz w:val="36"/>
          <w:szCs w:val="36"/>
        </w:rPr>
      </w:pPr>
      <w:r w:rsidRPr="00972B52">
        <w:rPr>
          <w:rFonts w:asciiTheme="minorEastAsia" w:eastAsiaTheme="minorEastAsia" w:hAnsiTheme="minorEastAsia" w:hint="eastAsia"/>
          <w:b/>
          <w:color w:val="FF0000"/>
          <w:sz w:val="36"/>
          <w:szCs w:val="36"/>
        </w:rPr>
        <w:t>和修改公司章程的</w:t>
      </w:r>
      <w:r w:rsidR="00E55407" w:rsidRPr="00972B52">
        <w:rPr>
          <w:rFonts w:asciiTheme="minorEastAsia" w:eastAsiaTheme="minorEastAsia" w:hAnsiTheme="minorEastAsia" w:hint="eastAsia"/>
          <w:b/>
          <w:color w:val="FF0000"/>
          <w:sz w:val="36"/>
          <w:szCs w:val="36"/>
        </w:rPr>
        <w:t>公告</w:t>
      </w:r>
    </w:p>
    <w:p w14:paraId="05B70EB9" w14:textId="77777777" w:rsidR="00EB670F" w:rsidRPr="00972B52" w:rsidRDefault="00EB670F" w:rsidP="005541BA">
      <w:pPr>
        <w:pBdr>
          <w:top w:val="single" w:sz="4" w:space="1" w:color="000000"/>
          <w:left w:val="single" w:sz="4" w:space="4" w:color="000000"/>
          <w:bottom w:val="single" w:sz="4" w:space="9" w:color="000000"/>
          <w:right w:val="single" w:sz="4" w:space="4" w:color="000000"/>
        </w:pBdr>
        <w:spacing w:line="520" w:lineRule="exact"/>
        <w:ind w:left="360" w:firstLine="480"/>
        <w:rPr>
          <w:rFonts w:asciiTheme="minorEastAsia" w:eastAsiaTheme="minorEastAsia" w:hAnsiTheme="minorEastAsia"/>
          <w:sz w:val="24"/>
          <w:szCs w:val="24"/>
        </w:rPr>
      </w:pPr>
      <w:r w:rsidRPr="00972B52">
        <w:rPr>
          <w:rFonts w:asciiTheme="minorEastAsia" w:eastAsiaTheme="minorEastAsia" w:hAnsiTheme="minorEastAsia"/>
          <w:sz w:val="24"/>
          <w:szCs w:val="24"/>
        </w:rPr>
        <w:t>本公司及董事会全体成员保证公告内容不存在虚假记载、误导性陈述或者重大遗漏，并对其内容的真实</w:t>
      </w:r>
      <w:r w:rsidR="00277E35" w:rsidRPr="00972B52">
        <w:rPr>
          <w:rFonts w:asciiTheme="minorEastAsia" w:eastAsiaTheme="minorEastAsia" w:hAnsiTheme="minorEastAsia" w:hint="eastAsia"/>
          <w:sz w:val="24"/>
          <w:szCs w:val="24"/>
        </w:rPr>
        <w:t>性</w:t>
      </w:r>
      <w:r w:rsidRPr="00972B52">
        <w:rPr>
          <w:rFonts w:asciiTheme="minorEastAsia" w:eastAsiaTheme="minorEastAsia" w:hAnsiTheme="minorEastAsia"/>
          <w:sz w:val="24"/>
          <w:szCs w:val="24"/>
        </w:rPr>
        <w:t>、准确</w:t>
      </w:r>
      <w:r w:rsidR="00277E35" w:rsidRPr="00972B52">
        <w:rPr>
          <w:rFonts w:asciiTheme="minorEastAsia" w:eastAsiaTheme="minorEastAsia" w:hAnsiTheme="minorEastAsia" w:hint="eastAsia"/>
          <w:sz w:val="24"/>
          <w:szCs w:val="24"/>
        </w:rPr>
        <w:t>性</w:t>
      </w:r>
      <w:r w:rsidRPr="00972B52">
        <w:rPr>
          <w:rFonts w:asciiTheme="minorEastAsia" w:eastAsiaTheme="minorEastAsia" w:hAnsiTheme="minorEastAsia"/>
          <w:sz w:val="24"/>
          <w:szCs w:val="24"/>
        </w:rPr>
        <w:t>和完整</w:t>
      </w:r>
      <w:r w:rsidR="00277E35" w:rsidRPr="00972B52">
        <w:rPr>
          <w:rFonts w:asciiTheme="minorEastAsia" w:eastAsiaTheme="minorEastAsia" w:hAnsiTheme="minorEastAsia" w:hint="eastAsia"/>
          <w:sz w:val="24"/>
          <w:szCs w:val="24"/>
        </w:rPr>
        <w:t>性</w:t>
      </w:r>
      <w:r w:rsidRPr="00972B52">
        <w:rPr>
          <w:rFonts w:asciiTheme="minorEastAsia" w:eastAsiaTheme="minorEastAsia" w:hAnsiTheme="minorEastAsia"/>
          <w:sz w:val="24"/>
          <w:szCs w:val="24"/>
        </w:rPr>
        <w:t>承担个别及连带责任。</w:t>
      </w:r>
    </w:p>
    <w:p w14:paraId="5EF0D83B" w14:textId="1B9900E7" w:rsidR="00D31A81" w:rsidRPr="00972B52" w:rsidRDefault="00D31A81" w:rsidP="00D31A81">
      <w:pPr>
        <w:pStyle w:val="a5"/>
        <w:pBdr>
          <w:top w:val="none" w:sz="0" w:space="0" w:color="auto"/>
          <w:left w:val="none" w:sz="0" w:space="0" w:color="auto"/>
          <w:bottom w:val="none" w:sz="0" w:space="0" w:color="auto"/>
          <w:right w:val="none" w:sz="0" w:space="0" w:color="auto"/>
          <w:between w:val="none" w:sz="0" w:space="0" w:color="auto"/>
        </w:pBdr>
        <w:spacing w:beforeLines="50" w:before="156" w:afterLines="50" w:after="156" w:line="360" w:lineRule="auto"/>
        <w:ind w:firstLineChars="200" w:firstLine="480"/>
        <w:rPr>
          <w:rFonts w:asciiTheme="minorEastAsia" w:eastAsiaTheme="minorEastAsia" w:hAnsiTheme="minorEastAsia" w:cs="Arial"/>
          <w:sz w:val="24"/>
          <w:szCs w:val="24"/>
        </w:rPr>
      </w:pPr>
      <w:r w:rsidRPr="00972B52">
        <w:rPr>
          <w:rFonts w:asciiTheme="minorEastAsia" w:eastAsiaTheme="minorEastAsia" w:hAnsiTheme="minorEastAsia" w:cs="Arial"/>
          <w:sz w:val="24"/>
          <w:szCs w:val="24"/>
        </w:rPr>
        <w:t>山东步长制药股份有限公司</w:t>
      </w:r>
      <w:r w:rsidRPr="00972B52">
        <w:rPr>
          <w:rFonts w:asciiTheme="minorEastAsia" w:eastAsiaTheme="minorEastAsia" w:hAnsiTheme="minorEastAsia" w:cs="Arial" w:hint="eastAsia"/>
          <w:sz w:val="24"/>
          <w:szCs w:val="24"/>
        </w:rPr>
        <w:t>（以下简称“公司”）于2</w:t>
      </w:r>
      <w:r w:rsidRPr="00972B52">
        <w:rPr>
          <w:rFonts w:asciiTheme="minorEastAsia" w:eastAsiaTheme="minorEastAsia" w:hAnsiTheme="minorEastAsia" w:cs="Arial"/>
          <w:sz w:val="24"/>
          <w:szCs w:val="24"/>
        </w:rPr>
        <w:t>019年</w:t>
      </w:r>
      <w:r w:rsidRPr="00972B52">
        <w:rPr>
          <w:rFonts w:asciiTheme="minorEastAsia" w:eastAsiaTheme="minorEastAsia" w:hAnsiTheme="minorEastAsia" w:cs="Arial" w:hint="eastAsia"/>
          <w:sz w:val="24"/>
          <w:szCs w:val="24"/>
        </w:rPr>
        <w:t>1</w:t>
      </w:r>
      <w:r w:rsidRPr="00972B52">
        <w:rPr>
          <w:rFonts w:asciiTheme="minorEastAsia" w:eastAsiaTheme="minorEastAsia" w:hAnsiTheme="minorEastAsia" w:cs="Arial"/>
          <w:sz w:val="24"/>
          <w:szCs w:val="24"/>
        </w:rPr>
        <w:t>2月</w:t>
      </w:r>
      <w:r w:rsidRPr="00972B52">
        <w:rPr>
          <w:rFonts w:asciiTheme="minorEastAsia" w:eastAsiaTheme="minorEastAsia" w:hAnsiTheme="minorEastAsia" w:cs="Arial" w:hint="eastAsia"/>
          <w:sz w:val="24"/>
          <w:szCs w:val="24"/>
        </w:rPr>
        <w:t>2日召开了第三届董事会第二十三次（临时）会议，审议通过了</w:t>
      </w:r>
      <w:r w:rsidR="00001650" w:rsidRPr="00972B52">
        <w:rPr>
          <w:rFonts w:asciiTheme="minorEastAsia" w:eastAsiaTheme="minorEastAsia" w:hAnsiTheme="minorEastAsia" w:cs="Arial" w:hint="eastAsia"/>
          <w:sz w:val="24"/>
          <w:szCs w:val="24"/>
        </w:rPr>
        <w:t>《关于调整利润分配方案、增加公司注册资本及修订&lt;山东步长制药股份有限公司章程&gt;》</w:t>
      </w:r>
      <w:r w:rsidRPr="00972B52">
        <w:rPr>
          <w:rFonts w:asciiTheme="minorEastAsia" w:eastAsiaTheme="minorEastAsia" w:hAnsiTheme="minorEastAsia" w:cs="Arial" w:hint="eastAsia"/>
          <w:sz w:val="24"/>
          <w:szCs w:val="24"/>
        </w:rPr>
        <w:t>的议案。</w:t>
      </w:r>
    </w:p>
    <w:p w14:paraId="59E420AE" w14:textId="122EF4D7" w:rsidR="00DC75E5" w:rsidRPr="00972B52" w:rsidRDefault="00001650" w:rsidP="00DC75E5">
      <w:pPr>
        <w:pStyle w:val="a5"/>
        <w:pBdr>
          <w:top w:val="none" w:sz="0" w:space="0" w:color="auto"/>
          <w:left w:val="none" w:sz="0" w:space="0" w:color="auto"/>
          <w:bottom w:val="none" w:sz="0" w:space="0" w:color="auto"/>
          <w:right w:val="none" w:sz="0" w:space="0" w:color="auto"/>
          <w:between w:val="none" w:sz="0" w:space="0" w:color="auto"/>
        </w:pBdr>
        <w:spacing w:beforeLines="50" w:before="156" w:afterLines="50" w:after="156" w:line="360" w:lineRule="auto"/>
        <w:ind w:firstLineChars="200" w:firstLine="480"/>
        <w:rPr>
          <w:rFonts w:asciiTheme="minorEastAsia" w:eastAsiaTheme="minorEastAsia" w:hAnsiTheme="minorEastAsia" w:cs="Arial"/>
          <w:sz w:val="24"/>
          <w:szCs w:val="24"/>
        </w:rPr>
      </w:pPr>
      <w:r w:rsidRPr="00972B52">
        <w:rPr>
          <w:rFonts w:asciiTheme="minorEastAsia" w:eastAsiaTheme="minorEastAsia" w:hAnsiTheme="minorEastAsia" w:cs="Arial" w:hint="eastAsia"/>
          <w:sz w:val="24"/>
          <w:szCs w:val="24"/>
        </w:rPr>
        <w:t>公司</w:t>
      </w:r>
      <w:r w:rsidR="00D31A81" w:rsidRPr="00972B52">
        <w:rPr>
          <w:rFonts w:asciiTheme="minorEastAsia" w:eastAsiaTheme="minorEastAsia" w:hAnsiTheme="minorEastAsia" w:cs="Arial" w:hint="eastAsia"/>
          <w:sz w:val="24"/>
          <w:szCs w:val="24"/>
        </w:rPr>
        <w:t>2</w:t>
      </w:r>
      <w:r w:rsidR="00D31A81" w:rsidRPr="00972B52">
        <w:rPr>
          <w:rFonts w:asciiTheme="minorEastAsia" w:eastAsiaTheme="minorEastAsia" w:hAnsiTheme="minorEastAsia" w:cs="Arial"/>
          <w:sz w:val="24"/>
          <w:szCs w:val="24"/>
        </w:rPr>
        <w:t>019年</w:t>
      </w:r>
      <w:r w:rsidR="00D31A81" w:rsidRPr="00972B52">
        <w:rPr>
          <w:rFonts w:asciiTheme="minorEastAsia" w:eastAsiaTheme="minorEastAsia" w:hAnsiTheme="minorEastAsia" w:cs="Arial" w:hint="eastAsia"/>
          <w:sz w:val="24"/>
          <w:szCs w:val="24"/>
        </w:rPr>
        <w:t>6月2</w:t>
      </w:r>
      <w:r w:rsidR="00D31A81" w:rsidRPr="00972B52">
        <w:rPr>
          <w:rFonts w:asciiTheme="minorEastAsia" w:eastAsiaTheme="minorEastAsia" w:hAnsiTheme="minorEastAsia" w:cs="Arial"/>
          <w:sz w:val="24"/>
          <w:szCs w:val="24"/>
        </w:rPr>
        <w:t>6日</w:t>
      </w:r>
      <w:r w:rsidRPr="00972B52">
        <w:rPr>
          <w:rFonts w:asciiTheme="minorEastAsia" w:eastAsiaTheme="minorEastAsia" w:hAnsiTheme="minorEastAsia" w:cs="Arial"/>
          <w:sz w:val="24"/>
          <w:szCs w:val="24"/>
        </w:rPr>
        <w:t>召开了</w:t>
      </w:r>
      <w:r w:rsidR="00D31A81" w:rsidRPr="00972B52">
        <w:rPr>
          <w:rFonts w:asciiTheme="minorEastAsia" w:eastAsiaTheme="minorEastAsia" w:hAnsiTheme="minorEastAsia" w:cs="Arial" w:hint="eastAsia"/>
          <w:sz w:val="24"/>
          <w:szCs w:val="24"/>
        </w:rPr>
        <w:t>2</w:t>
      </w:r>
      <w:r w:rsidR="00D31A81" w:rsidRPr="00972B52">
        <w:rPr>
          <w:rFonts w:asciiTheme="minorEastAsia" w:eastAsiaTheme="minorEastAsia" w:hAnsiTheme="minorEastAsia" w:cs="Arial"/>
          <w:sz w:val="24"/>
          <w:szCs w:val="24"/>
        </w:rPr>
        <w:t>018年年度股东大会审议通过了</w:t>
      </w:r>
      <w:r w:rsidR="00D31A81" w:rsidRPr="00972B52">
        <w:rPr>
          <w:rFonts w:asciiTheme="minorEastAsia" w:eastAsiaTheme="minorEastAsia" w:hAnsiTheme="minorEastAsia" w:cs="Arial" w:hint="eastAsia"/>
          <w:sz w:val="24"/>
          <w:szCs w:val="24"/>
        </w:rPr>
        <w:t>《关于公司</w:t>
      </w:r>
      <w:r w:rsidR="00D31A81" w:rsidRPr="00972B52">
        <w:rPr>
          <w:rFonts w:asciiTheme="minorEastAsia" w:eastAsiaTheme="minorEastAsia" w:hAnsiTheme="minorEastAsia" w:cs="Arial"/>
          <w:sz w:val="24"/>
          <w:szCs w:val="24"/>
        </w:rPr>
        <w:t>2018年度利润分配及资本公积金转增股本的议案</w:t>
      </w:r>
      <w:r w:rsidR="00D31A81" w:rsidRPr="00972B52">
        <w:rPr>
          <w:rFonts w:asciiTheme="minorEastAsia" w:eastAsiaTheme="minorEastAsia" w:hAnsiTheme="minorEastAsia" w:cs="Arial" w:hint="eastAsia"/>
          <w:sz w:val="24"/>
          <w:szCs w:val="24"/>
        </w:rPr>
        <w:t>》，同意以2</w:t>
      </w:r>
      <w:r w:rsidR="00D31A81" w:rsidRPr="00972B52">
        <w:rPr>
          <w:rFonts w:asciiTheme="minorEastAsia" w:eastAsiaTheme="minorEastAsia" w:hAnsiTheme="minorEastAsia" w:cs="Arial"/>
          <w:sz w:val="24"/>
          <w:szCs w:val="24"/>
        </w:rPr>
        <w:t>018年</w:t>
      </w:r>
      <w:r w:rsidR="00D31A81" w:rsidRPr="00972B52">
        <w:rPr>
          <w:rFonts w:asciiTheme="minorEastAsia" w:eastAsiaTheme="minorEastAsia" w:hAnsiTheme="minorEastAsia" w:cs="Arial" w:hint="eastAsia"/>
          <w:sz w:val="24"/>
          <w:szCs w:val="24"/>
        </w:rPr>
        <w:t>1</w:t>
      </w:r>
      <w:r w:rsidR="00D31A81" w:rsidRPr="00972B52">
        <w:rPr>
          <w:rFonts w:asciiTheme="minorEastAsia" w:eastAsiaTheme="minorEastAsia" w:hAnsiTheme="minorEastAsia" w:cs="Arial"/>
          <w:sz w:val="24"/>
          <w:szCs w:val="24"/>
        </w:rPr>
        <w:t>2月</w:t>
      </w:r>
      <w:r w:rsidR="00D31A81" w:rsidRPr="00972B52">
        <w:rPr>
          <w:rFonts w:asciiTheme="minorEastAsia" w:eastAsiaTheme="minorEastAsia" w:hAnsiTheme="minorEastAsia" w:cs="Arial" w:hint="eastAsia"/>
          <w:sz w:val="24"/>
          <w:szCs w:val="24"/>
        </w:rPr>
        <w:t>3</w:t>
      </w:r>
      <w:r w:rsidR="00D31A81" w:rsidRPr="00972B52">
        <w:rPr>
          <w:rFonts w:asciiTheme="minorEastAsia" w:eastAsiaTheme="minorEastAsia" w:hAnsiTheme="minorEastAsia" w:cs="Arial"/>
          <w:sz w:val="24"/>
          <w:szCs w:val="24"/>
        </w:rPr>
        <w:t>1日公司总股本</w:t>
      </w:r>
      <w:r w:rsidR="00D31A81" w:rsidRPr="00972B52">
        <w:rPr>
          <w:rFonts w:asciiTheme="minorEastAsia" w:eastAsiaTheme="minorEastAsia" w:hAnsiTheme="minorEastAsia" w:cs="Arial" w:hint="eastAsia"/>
          <w:sz w:val="24"/>
          <w:szCs w:val="24"/>
        </w:rPr>
        <w:t>8</w:t>
      </w:r>
      <w:r w:rsidR="00D31A81" w:rsidRPr="00972B52">
        <w:rPr>
          <w:rFonts w:asciiTheme="minorEastAsia" w:eastAsiaTheme="minorEastAsia" w:hAnsiTheme="minorEastAsia" w:cs="Arial"/>
          <w:sz w:val="24"/>
          <w:szCs w:val="24"/>
        </w:rPr>
        <w:t>86,340,000股</w:t>
      </w:r>
      <w:r w:rsidR="001F638E" w:rsidRPr="00972B52">
        <w:rPr>
          <w:rFonts w:asciiTheme="minorEastAsia" w:eastAsiaTheme="minorEastAsia" w:hAnsiTheme="minorEastAsia" w:cs="Arial"/>
          <w:sz w:val="24"/>
          <w:szCs w:val="24"/>
        </w:rPr>
        <w:t>扣减不能参与的已回购股份</w:t>
      </w:r>
      <w:r w:rsidR="001F638E" w:rsidRPr="00972B52">
        <w:rPr>
          <w:rFonts w:asciiTheme="minorEastAsia" w:eastAsiaTheme="minorEastAsia" w:hAnsiTheme="minorEastAsia" w:cs="Arial" w:hint="eastAsia"/>
          <w:sz w:val="24"/>
          <w:szCs w:val="24"/>
        </w:rPr>
        <w:t>3</w:t>
      </w:r>
      <w:r w:rsidR="001F638E" w:rsidRPr="00972B52">
        <w:rPr>
          <w:rFonts w:asciiTheme="minorEastAsia" w:eastAsiaTheme="minorEastAsia" w:hAnsiTheme="minorEastAsia" w:cs="Arial"/>
          <w:sz w:val="24"/>
          <w:szCs w:val="24"/>
        </w:rPr>
        <w:t>5,537,965股后</w:t>
      </w:r>
      <w:r w:rsidR="001F638E" w:rsidRPr="00972B52">
        <w:rPr>
          <w:rFonts w:asciiTheme="minorEastAsia" w:eastAsiaTheme="minorEastAsia" w:hAnsiTheme="minorEastAsia" w:cs="Arial" w:hint="eastAsia"/>
          <w:sz w:val="24"/>
          <w:szCs w:val="24"/>
        </w:rPr>
        <w:t>，</w:t>
      </w:r>
      <w:r w:rsidR="001F638E" w:rsidRPr="00972B52">
        <w:rPr>
          <w:rFonts w:asciiTheme="minorEastAsia" w:eastAsiaTheme="minorEastAsia" w:hAnsiTheme="minorEastAsia" w:cs="Arial"/>
          <w:sz w:val="24"/>
          <w:szCs w:val="24"/>
        </w:rPr>
        <w:t>即</w:t>
      </w:r>
      <w:r w:rsidR="001F638E" w:rsidRPr="00972B52">
        <w:rPr>
          <w:rFonts w:asciiTheme="minorEastAsia" w:eastAsiaTheme="minorEastAsia" w:hAnsiTheme="minorEastAsia" w:cs="Arial" w:hint="eastAsia"/>
          <w:sz w:val="24"/>
          <w:szCs w:val="24"/>
        </w:rPr>
        <w:t>8</w:t>
      </w:r>
      <w:r w:rsidR="001F638E" w:rsidRPr="00972B52">
        <w:rPr>
          <w:rFonts w:asciiTheme="minorEastAsia" w:eastAsiaTheme="minorEastAsia" w:hAnsiTheme="minorEastAsia" w:cs="Arial"/>
          <w:sz w:val="24"/>
          <w:szCs w:val="24"/>
        </w:rPr>
        <w:t>50,802,035股</w:t>
      </w:r>
      <w:r w:rsidR="00D31A81" w:rsidRPr="00972B52">
        <w:rPr>
          <w:rFonts w:asciiTheme="minorEastAsia" w:eastAsiaTheme="minorEastAsia" w:hAnsiTheme="minorEastAsia" w:cs="Arial"/>
          <w:sz w:val="24"/>
          <w:szCs w:val="24"/>
        </w:rPr>
        <w:t>为基数</w:t>
      </w:r>
      <w:r w:rsidR="00D31A81" w:rsidRPr="00972B52">
        <w:rPr>
          <w:rFonts w:asciiTheme="minorEastAsia" w:eastAsiaTheme="minorEastAsia" w:hAnsiTheme="minorEastAsia" w:cs="Arial" w:hint="eastAsia"/>
          <w:sz w:val="24"/>
          <w:szCs w:val="24"/>
        </w:rPr>
        <w:t>，向全体股东每</w:t>
      </w:r>
      <w:proofErr w:type="gramStart"/>
      <w:r w:rsidR="00D31A81" w:rsidRPr="00972B52">
        <w:rPr>
          <w:rFonts w:asciiTheme="minorEastAsia" w:eastAsiaTheme="minorEastAsia" w:hAnsiTheme="minorEastAsia" w:cs="Arial" w:hint="eastAsia"/>
          <w:sz w:val="24"/>
          <w:szCs w:val="24"/>
        </w:rPr>
        <w:t>股分</w:t>
      </w:r>
      <w:proofErr w:type="gramEnd"/>
      <w:r w:rsidR="00D31A81" w:rsidRPr="00972B52">
        <w:rPr>
          <w:rFonts w:asciiTheme="minorEastAsia" w:eastAsiaTheme="minorEastAsia" w:hAnsiTheme="minorEastAsia" w:cs="Arial" w:hint="eastAsia"/>
          <w:sz w:val="24"/>
          <w:szCs w:val="24"/>
        </w:rPr>
        <w:t>配现金红利1</w:t>
      </w:r>
      <w:r w:rsidR="00D31A81" w:rsidRPr="00972B52">
        <w:rPr>
          <w:rFonts w:asciiTheme="minorEastAsia" w:eastAsiaTheme="minorEastAsia" w:hAnsiTheme="minorEastAsia" w:cs="Arial"/>
          <w:sz w:val="24"/>
          <w:szCs w:val="24"/>
        </w:rPr>
        <w:t>.614元</w:t>
      </w:r>
      <w:r w:rsidR="00D31A81" w:rsidRPr="00972B52">
        <w:rPr>
          <w:rFonts w:asciiTheme="minorEastAsia" w:eastAsiaTheme="minorEastAsia" w:hAnsiTheme="minorEastAsia" w:cs="Arial" w:hint="eastAsia"/>
          <w:sz w:val="24"/>
          <w:szCs w:val="24"/>
        </w:rPr>
        <w:t>（含税），合计派发现金红利1</w:t>
      </w:r>
      <w:r w:rsidR="00D31A81" w:rsidRPr="00972B52">
        <w:rPr>
          <w:rFonts w:asciiTheme="minorEastAsia" w:eastAsiaTheme="minorEastAsia" w:hAnsiTheme="minorEastAsia" w:cs="Arial"/>
          <w:sz w:val="24"/>
          <w:szCs w:val="24"/>
        </w:rPr>
        <w:t>,373,194,484.48</w:t>
      </w:r>
      <w:r w:rsidR="00DC75E5" w:rsidRPr="00972B52">
        <w:rPr>
          <w:rFonts w:asciiTheme="minorEastAsia" w:eastAsiaTheme="minorEastAsia" w:hAnsiTheme="minorEastAsia" w:cs="Arial"/>
          <w:sz w:val="24"/>
          <w:szCs w:val="24"/>
        </w:rPr>
        <w:t>元</w:t>
      </w:r>
      <w:r w:rsidR="00DC75E5" w:rsidRPr="00972B52">
        <w:rPr>
          <w:rFonts w:asciiTheme="minorEastAsia" w:eastAsiaTheme="minorEastAsia" w:hAnsiTheme="minorEastAsia" w:cs="Arial" w:hint="eastAsia"/>
          <w:sz w:val="24"/>
          <w:szCs w:val="24"/>
        </w:rPr>
        <w:t>（含税），剩余未分配利润结转下一年度；同时以上述8</w:t>
      </w:r>
      <w:r w:rsidR="00DC75E5" w:rsidRPr="00972B52">
        <w:rPr>
          <w:rFonts w:asciiTheme="minorEastAsia" w:eastAsiaTheme="minorEastAsia" w:hAnsiTheme="minorEastAsia" w:cs="Arial"/>
          <w:sz w:val="24"/>
          <w:szCs w:val="24"/>
        </w:rPr>
        <w:t>50,802,035股为基数</w:t>
      </w:r>
      <w:r w:rsidR="00DC75E5" w:rsidRPr="00972B52">
        <w:rPr>
          <w:rFonts w:asciiTheme="minorEastAsia" w:eastAsiaTheme="minorEastAsia" w:hAnsiTheme="minorEastAsia" w:cs="Arial" w:hint="eastAsia"/>
          <w:sz w:val="24"/>
          <w:szCs w:val="24"/>
        </w:rPr>
        <w:t>，</w:t>
      </w:r>
      <w:r w:rsidR="00DC75E5" w:rsidRPr="00972B52">
        <w:rPr>
          <w:rFonts w:asciiTheme="minorEastAsia" w:eastAsiaTheme="minorEastAsia" w:hAnsiTheme="minorEastAsia" w:cs="Arial"/>
          <w:sz w:val="24"/>
          <w:szCs w:val="24"/>
        </w:rPr>
        <w:t>以资本公积向全体股东每股转增</w:t>
      </w:r>
      <w:r w:rsidR="00DC75E5" w:rsidRPr="00972B52">
        <w:rPr>
          <w:rFonts w:asciiTheme="minorEastAsia" w:eastAsiaTheme="minorEastAsia" w:hAnsiTheme="minorEastAsia" w:cs="Arial" w:hint="eastAsia"/>
          <w:sz w:val="24"/>
          <w:szCs w:val="24"/>
        </w:rPr>
        <w:t>0</w:t>
      </w:r>
      <w:r w:rsidR="00DC75E5" w:rsidRPr="00972B52">
        <w:rPr>
          <w:rFonts w:asciiTheme="minorEastAsia" w:eastAsiaTheme="minorEastAsia" w:hAnsiTheme="minorEastAsia" w:cs="Arial"/>
          <w:sz w:val="24"/>
          <w:szCs w:val="24"/>
        </w:rPr>
        <w:t>.3股</w:t>
      </w:r>
      <w:r w:rsidR="00DC75E5" w:rsidRPr="00972B52">
        <w:rPr>
          <w:rFonts w:asciiTheme="minorEastAsia" w:eastAsiaTheme="minorEastAsia" w:hAnsiTheme="minorEastAsia" w:cs="Arial" w:hint="eastAsia"/>
          <w:sz w:val="24"/>
          <w:szCs w:val="24"/>
        </w:rPr>
        <w:t>，</w:t>
      </w:r>
      <w:r w:rsidR="00DC75E5" w:rsidRPr="00972B52">
        <w:rPr>
          <w:rFonts w:asciiTheme="minorEastAsia" w:eastAsiaTheme="minorEastAsia" w:hAnsiTheme="minorEastAsia" w:cs="Arial"/>
          <w:sz w:val="24"/>
          <w:szCs w:val="24"/>
        </w:rPr>
        <w:t>新增股份</w:t>
      </w:r>
      <w:r w:rsidR="00DC75E5" w:rsidRPr="00972B52">
        <w:rPr>
          <w:rFonts w:asciiTheme="minorEastAsia" w:eastAsiaTheme="minorEastAsia" w:hAnsiTheme="minorEastAsia" w:cs="Arial" w:hint="eastAsia"/>
          <w:sz w:val="24"/>
          <w:szCs w:val="24"/>
        </w:rPr>
        <w:t>2</w:t>
      </w:r>
      <w:r w:rsidR="00DC75E5" w:rsidRPr="00972B52">
        <w:rPr>
          <w:rFonts w:asciiTheme="minorEastAsia" w:eastAsiaTheme="minorEastAsia" w:hAnsiTheme="minorEastAsia" w:cs="Arial"/>
          <w:sz w:val="24"/>
          <w:szCs w:val="24"/>
        </w:rPr>
        <w:t>55,240,610 股</w:t>
      </w:r>
      <w:r w:rsidR="00DC75E5" w:rsidRPr="00972B52">
        <w:rPr>
          <w:rFonts w:asciiTheme="minorEastAsia" w:eastAsiaTheme="minorEastAsia" w:hAnsiTheme="minorEastAsia" w:cs="Arial" w:hint="eastAsia"/>
          <w:sz w:val="24"/>
          <w:szCs w:val="24"/>
        </w:rPr>
        <w:t>，</w:t>
      </w:r>
      <w:r w:rsidR="00DC75E5" w:rsidRPr="00972B52">
        <w:rPr>
          <w:rFonts w:asciiTheme="minorEastAsia" w:eastAsiaTheme="minorEastAsia" w:hAnsiTheme="minorEastAsia" w:cs="Arial"/>
          <w:sz w:val="24"/>
          <w:szCs w:val="24"/>
        </w:rPr>
        <w:t>转增后公司总股本由886,340,000股变为 1</w:t>
      </w:r>
      <w:r w:rsidR="00F4160C" w:rsidRPr="00972B52">
        <w:rPr>
          <w:rFonts w:asciiTheme="minorEastAsia" w:eastAsiaTheme="minorEastAsia" w:hAnsiTheme="minorEastAsia" w:cs="Arial"/>
          <w:sz w:val="24"/>
          <w:szCs w:val="24"/>
        </w:rPr>
        <w:t>,</w:t>
      </w:r>
      <w:r w:rsidR="00DC75E5" w:rsidRPr="00972B52">
        <w:rPr>
          <w:rFonts w:asciiTheme="minorEastAsia" w:eastAsiaTheme="minorEastAsia" w:hAnsiTheme="minorEastAsia" w:cs="Arial"/>
          <w:sz w:val="24"/>
          <w:szCs w:val="24"/>
        </w:rPr>
        <w:t>141,580,610股</w:t>
      </w:r>
      <w:r w:rsidR="00DC75E5" w:rsidRPr="00972B52">
        <w:rPr>
          <w:rFonts w:asciiTheme="minorEastAsia" w:eastAsiaTheme="minorEastAsia" w:hAnsiTheme="minorEastAsia" w:cs="Arial" w:hint="eastAsia"/>
          <w:sz w:val="24"/>
          <w:szCs w:val="24"/>
        </w:rPr>
        <w:t>，</w:t>
      </w:r>
      <w:r w:rsidR="00D31A81" w:rsidRPr="00972B52">
        <w:rPr>
          <w:rFonts w:asciiTheme="minorEastAsia" w:eastAsiaTheme="minorEastAsia" w:hAnsiTheme="minorEastAsia" w:cs="Arial" w:hint="eastAsia"/>
          <w:sz w:val="24"/>
          <w:szCs w:val="24"/>
        </w:rPr>
        <w:t>注册资本从88,634</w:t>
      </w:r>
      <w:r w:rsidR="00D31A81" w:rsidRPr="00972B52">
        <w:rPr>
          <w:rFonts w:asciiTheme="minorEastAsia" w:eastAsiaTheme="minorEastAsia" w:hAnsiTheme="minorEastAsia" w:cs="Arial"/>
          <w:sz w:val="24"/>
          <w:szCs w:val="24"/>
        </w:rPr>
        <w:t>.000</w:t>
      </w:r>
      <w:r w:rsidR="00D31A81" w:rsidRPr="00972B52">
        <w:rPr>
          <w:rFonts w:asciiTheme="minorEastAsia" w:eastAsiaTheme="minorEastAsia" w:hAnsiTheme="minorEastAsia" w:cs="Arial" w:hint="eastAsia"/>
          <w:sz w:val="24"/>
          <w:szCs w:val="24"/>
        </w:rPr>
        <w:t>万元增至114,158.061万</w:t>
      </w:r>
      <w:r w:rsidR="00DC75E5" w:rsidRPr="00972B52">
        <w:rPr>
          <w:rFonts w:asciiTheme="minorEastAsia" w:eastAsiaTheme="minorEastAsia" w:hAnsiTheme="minorEastAsia" w:cs="Arial" w:hint="eastAsia"/>
          <w:sz w:val="24"/>
          <w:szCs w:val="24"/>
        </w:rPr>
        <w:t>元。</w:t>
      </w:r>
    </w:p>
    <w:p w14:paraId="1AEAB606" w14:textId="61DC55ED" w:rsidR="00DC75E5" w:rsidRPr="00972B52" w:rsidRDefault="00DC75E5" w:rsidP="00DC75E5">
      <w:pPr>
        <w:pStyle w:val="a5"/>
        <w:pBdr>
          <w:top w:val="none" w:sz="0" w:space="0" w:color="auto"/>
          <w:left w:val="none" w:sz="0" w:space="0" w:color="auto"/>
          <w:bottom w:val="none" w:sz="0" w:space="0" w:color="auto"/>
          <w:right w:val="none" w:sz="0" w:space="0" w:color="auto"/>
          <w:between w:val="none" w:sz="0" w:space="0" w:color="auto"/>
        </w:pBdr>
        <w:spacing w:beforeLines="50" w:before="156" w:afterLines="50" w:after="156" w:line="360" w:lineRule="auto"/>
        <w:ind w:firstLineChars="200" w:firstLine="480"/>
        <w:rPr>
          <w:rFonts w:asciiTheme="minorEastAsia" w:eastAsiaTheme="minorEastAsia" w:hAnsiTheme="minorEastAsia" w:cs="Arial"/>
          <w:sz w:val="24"/>
          <w:szCs w:val="24"/>
        </w:rPr>
      </w:pPr>
      <w:r w:rsidRPr="00972B52">
        <w:rPr>
          <w:rFonts w:asciiTheme="minorEastAsia" w:eastAsiaTheme="minorEastAsia" w:hAnsiTheme="minorEastAsia" w:cs="Arial" w:hint="eastAsia"/>
          <w:sz w:val="24"/>
          <w:szCs w:val="24"/>
        </w:rPr>
        <w:t>根据中国证监会《上市公司章程指引（2016年修订）》（证监会公告[201</w:t>
      </w:r>
      <w:r w:rsidRPr="00972B52">
        <w:rPr>
          <w:rFonts w:asciiTheme="minorEastAsia" w:eastAsiaTheme="minorEastAsia" w:hAnsiTheme="minorEastAsia" w:cs="Arial"/>
          <w:sz w:val="24"/>
          <w:szCs w:val="24"/>
        </w:rPr>
        <w:t>6]23</w:t>
      </w:r>
      <w:r w:rsidRPr="00972B52">
        <w:rPr>
          <w:rFonts w:asciiTheme="minorEastAsia" w:eastAsiaTheme="minorEastAsia" w:hAnsiTheme="minorEastAsia" w:cs="Arial" w:hint="eastAsia"/>
          <w:sz w:val="24"/>
          <w:szCs w:val="24"/>
        </w:rPr>
        <w:t>号）等有关规定，对公司章程进行修改。具体修改情况如下：</w:t>
      </w: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72B52" w:rsidRPr="00972B52" w14:paraId="05791500" w14:textId="77777777" w:rsidTr="00EA3B9B">
        <w:trPr>
          <w:tblHeader/>
        </w:trPr>
        <w:tc>
          <w:tcPr>
            <w:tcW w:w="4261" w:type="dxa"/>
            <w:vAlign w:val="center"/>
          </w:tcPr>
          <w:p w14:paraId="6E0AF2A2" w14:textId="77777777" w:rsidR="00DC75E5" w:rsidRPr="00972B52" w:rsidRDefault="00DC75E5" w:rsidP="00DC75E5">
            <w:pPr>
              <w:widowControl/>
              <w:spacing w:before="100" w:beforeAutospacing="1" w:after="100" w:afterAutospacing="1" w:line="360" w:lineRule="auto"/>
              <w:jc w:val="center"/>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修订前</w:t>
            </w:r>
          </w:p>
        </w:tc>
        <w:tc>
          <w:tcPr>
            <w:tcW w:w="4261" w:type="dxa"/>
            <w:vAlign w:val="center"/>
          </w:tcPr>
          <w:p w14:paraId="350B16DE" w14:textId="77777777" w:rsidR="00DC75E5" w:rsidRPr="00972B52" w:rsidRDefault="00DC75E5" w:rsidP="00DC75E5">
            <w:pPr>
              <w:widowControl/>
              <w:spacing w:before="100" w:beforeAutospacing="1" w:after="100" w:afterAutospacing="1" w:line="360" w:lineRule="auto"/>
              <w:jc w:val="center"/>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修订后</w:t>
            </w:r>
          </w:p>
        </w:tc>
      </w:tr>
      <w:tr w:rsidR="00972B52" w:rsidRPr="00972B52" w14:paraId="2D6E962C" w14:textId="77777777" w:rsidTr="00EA3B9B">
        <w:tc>
          <w:tcPr>
            <w:tcW w:w="4261" w:type="dxa"/>
          </w:tcPr>
          <w:p w14:paraId="11274605" w14:textId="77777777"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b/>
                <w:kern w:val="0"/>
                <w:sz w:val="24"/>
                <w:szCs w:val="24"/>
              </w:rPr>
              <w:t>第四条</w:t>
            </w:r>
            <w:r w:rsidRPr="00972B52">
              <w:rPr>
                <w:rFonts w:asciiTheme="minorEastAsia" w:eastAsiaTheme="minorEastAsia" w:hAnsiTheme="minorEastAsia" w:cs="Arial" w:hint="eastAsia"/>
                <w:kern w:val="0"/>
                <w:sz w:val="24"/>
                <w:szCs w:val="24"/>
              </w:rPr>
              <w:tab/>
              <w:t>公司中文名称：山东步长制药股份有限公司</w:t>
            </w:r>
          </w:p>
          <w:p w14:paraId="0BC282B0" w14:textId="77777777" w:rsidR="00F4160C"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 xml:space="preserve">英文名称：SHANDONG BUCHANG </w:t>
            </w:r>
            <w:r w:rsidRPr="00972B52">
              <w:rPr>
                <w:rFonts w:asciiTheme="minorEastAsia" w:eastAsiaTheme="minorEastAsia" w:hAnsiTheme="minorEastAsia" w:cs="Arial" w:hint="eastAsia"/>
                <w:kern w:val="0"/>
                <w:sz w:val="24"/>
                <w:szCs w:val="24"/>
              </w:rPr>
              <w:lastRenderedPageBreak/>
              <w:t xml:space="preserve">PHARMACEUTICALS CO., LTD </w:t>
            </w:r>
          </w:p>
          <w:p w14:paraId="2AB5D6F4" w14:textId="401C5581"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公司住所：菏泽市中华西路369号</w:t>
            </w:r>
          </w:p>
          <w:p w14:paraId="1D041DC4" w14:textId="77777777"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邮政编码：274000</w:t>
            </w:r>
          </w:p>
          <w:p w14:paraId="41F6BAD9" w14:textId="77777777"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b/>
                <w:kern w:val="0"/>
                <w:sz w:val="24"/>
                <w:szCs w:val="24"/>
              </w:rPr>
            </w:pPr>
            <w:r w:rsidRPr="00972B52">
              <w:rPr>
                <w:rFonts w:asciiTheme="minorEastAsia" w:eastAsiaTheme="minorEastAsia" w:hAnsiTheme="minorEastAsia" w:cs="Arial" w:hint="eastAsia"/>
                <w:b/>
                <w:kern w:val="0"/>
                <w:sz w:val="24"/>
                <w:szCs w:val="24"/>
              </w:rPr>
              <w:t>公司注册资本为人民币88,634万元。</w:t>
            </w:r>
          </w:p>
        </w:tc>
        <w:tc>
          <w:tcPr>
            <w:tcW w:w="4261" w:type="dxa"/>
          </w:tcPr>
          <w:p w14:paraId="316AFE16" w14:textId="77777777"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b/>
                <w:kern w:val="0"/>
                <w:sz w:val="24"/>
                <w:szCs w:val="24"/>
              </w:rPr>
              <w:lastRenderedPageBreak/>
              <w:t>第四条</w:t>
            </w:r>
            <w:r w:rsidRPr="00972B52">
              <w:rPr>
                <w:rFonts w:asciiTheme="minorEastAsia" w:eastAsiaTheme="minorEastAsia" w:hAnsiTheme="minorEastAsia" w:cs="Arial" w:hint="eastAsia"/>
                <w:b/>
                <w:kern w:val="0"/>
                <w:sz w:val="24"/>
                <w:szCs w:val="24"/>
              </w:rPr>
              <w:tab/>
            </w:r>
            <w:r w:rsidRPr="00972B52">
              <w:rPr>
                <w:rFonts w:asciiTheme="minorEastAsia" w:eastAsiaTheme="minorEastAsia" w:hAnsiTheme="minorEastAsia" w:cs="Arial" w:hint="eastAsia"/>
                <w:kern w:val="0"/>
                <w:sz w:val="24"/>
                <w:szCs w:val="24"/>
              </w:rPr>
              <w:t>公司中文名称：山东步长制药股份有限公司</w:t>
            </w:r>
          </w:p>
          <w:p w14:paraId="1A091F37" w14:textId="77777777" w:rsidR="00F4160C"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 xml:space="preserve">英文名称：SHANDONG BUCHANG </w:t>
            </w:r>
            <w:r w:rsidRPr="00972B52">
              <w:rPr>
                <w:rFonts w:asciiTheme="minorEastAsia" w:eastAsiaTheme="minorEastAsia" w:hAnsiTheme="minorEastAsia" w:cs="Arial" w:hint="eastAsia"/>
                <w:kern w:val="0"/>
                <w:sz w:val="24"/>
                <w:szCs w:val="24"/>
              </w:rPr>
              <w:lastRenderedPageBreak/>
              <w:t xml:space="preserve">PHARMACEUTICALS CO., LTD </w:t>
            </w:r>
          </w:p>
          <w:p w14:paraId="70A25101" w14:textId="6AFF434A"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公司住所：菏泽市中华西路369号</w:t>
            </w:r>
          </w:p>
          <w:p w14:paraId="1E0A8A5A" w14:textId="77777777"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邮政编码：274000</w:t>
            </w:r>
          </w:p>
          <w:p w14:paraId="156A6342" w14:textId="77777777"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b/>
                <w:kern w:val="0"/>
                <w:sz w:val="24"/>
                <w:szCs w:val="24"/>
              </w:rPr>
            </w:pPr>
            <w:r w:rsidRPr="00972B52">
              <w:rPr>
                <w:rFonts w:asciiTheme="minorEastAsia" w:eastAsiaTheme="minorEastAsia" w:hAnsiTheme="minorEastAsia" w:cs="Arial" w:hint="eastAsia"/>
                <w:b/>
                <w:kern w:val="0"/>
                <w:sz w:val="24"/>
                <w:szCs w:val="24"/>
              </w:rPr>
              <w:t>公司注册资本为人民币</w:t>
            </w:r>
            <w:r w:rsidRPr="00972B52">
              <w:rPr>
                <w:rFonts w:asciiTheme="minorEastAsia" w:eastAsiaTheme="minorEastAsia" w:hAnsiTheme="minorEastAsia" w:cs="Arial"/>
                <w:b/>
                <w:kern w:val="0"/>
                <w:sz w:val="24"/>
                <w:szCs w:val="24"/>
              </w:rPr>
              <w:t>114,158.061</w:t>
            </w:r>
            <w:r w:rsidRPr="00972B52">
              <w:rPr>
                <w:rFonts w:asciiTheme="minorEastAsia" w:eastAsiaTheme="minorEastAsia" w:hAnsiTheme="minorEastAsia" w:cs="Arial" w:hint="eastAsia"/>
                <w:b/>
                <w:kern w:val="0"/>
                <w:sz w:val="24"/>
                <w:szCs w:val="24"/>
              </w:rPr>
              <w:t>万元。</w:t>
            </w:r>
          </w:p>
        </w:tc>
      </w:tr>
      <w:tr w:rsidR="00972B52" w:rsidRPr="00972B52" w14:paraId="45F0E8C0" w14:textId="77777777" w:rsidTr="00EA3B9B">
        <w:tc>
          <w:tcPr>
            <w:tcW w:w="4261" w:type="dxa"/>
          </w:tcPr>
          <w:p w14:paraId="0683DC7F" w14:textId="77777777"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b/>
                <w:kern w:val="0"/>
                <w:sz w:val="24"/>
                <w:szCs w:val="24"/>
              </w:rPr>
              <w:lastRenderedPageBreak/>
              <w:t>第十八条</w:t>
            </w:r>
            <w:r w:rsidRPr="00972B52">
              <w:rPr>
                <w:rFonts w:asciiTheme="minorEastAsia" w:eastAsiaTheme="minorEastAsia" w:hAnsiTheme="minorEastAsia" w:cs="Arial"/>
                <w:kern w:val="0"/>
                <w:sz w:val="24"/>
                <w:szCs w:val="24"/>
              </w:rPr>
              <w:t xml:space="preserve"> </w:t>
            </w:r>
            <w:r w:rsidRPr="00972B52">
              <w:rPr>
                <w:rFonts w:asciiTheme="minorEastAsia" w:eastAsiaTheme="minorEastAsia" w:hAnsiTheme="minorEastAsia" w:cs="Arial" w:hint="eastAsia"/>
                <w:kern w:val="0"/>
                <w:sz w:val="24"/>
                <w:szCs w:val="24"/>
              </w:rPr>
              <w:t xml:space="preserve"> </w:t>
            </w:r>
            <w:r w:rsidRPr="00972B52">
              <w:rPr>
                <w:rFonts w:asciiTheme="minorEastAsia" w:eastAsiaTheme="minorEastAsia" w:hAnsiTheme="minorEastAsia" w:cs="Arial" w:hint="eastAsia"/>
                <w:b/>
                <w:kern w:val="0"/>
                <w:sz w:val="24"/>
                <w:szCs w:val="24"/>
              </w:rPr>
              <w:t>公司注册资本为人民币88,634万元，股份总数为88,634万股，全部为普通股，每股面值1元人民币。</w:t>
            </w:r>
          </w:p>
        </w:tc>
        <w:tc>
          <w:tcPr>
            <w:tcW w:w="4261" w:type="dxa"/>
          </w:tcPr>
          <w:p w14:paraId="0BAEA4B2" w14:textId="77777777" w:rsidR="00DC75E5" w:rsidRPr="00972B52" w:rsidRDefault="00DC75E5" w:rsidP="00DC75E5">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b/>
                <w:kern w:val="0"/>
                <w:sz w:val="24"/>
                <w:szCs w:val="24"/>
              </w:rPr>
              <w:t>第十八条</w:t>
            </w:r>
            <w:r w:rsidRPr="00972B52">
              <w:rPr>
                <w:rFonts w:asciiTheme="minorEastAsia" w:eastAsiaTheme="minorEastAsia" w:hAnsiTheme="minorEastAsia" w:cs="Arial" w:hint="eastAsia"/>
                <w:kern w:val="0"/>
                <w:sz w:val="24"/>
                <w:szCs w:val="24"/>
              </w:rPr>
              <w:tab/>
            </w:r>
            <w:r w:rsidRPr="00972B52">
              <w:rPr>
                <w:rFonts w:asciiTheme="minorEastAsia" w:eastAsiaTheme="minorEastAsia" w:hAnsiTheme="minorEastAsia" w:cs="Arial"/>
                <w:kern w:val="0"/>
                <w:sz w:val="24"/>
                <w:szCs w:val="24"/>
              </w:rPr>
              <w:t xml:space="preserve"> </w:t>
            </w:r>
            <w:r w:rsidRPr="00972B52">
              <w:rPr>
                <w:rFonts w:asciiTheme="minorEastAsia" w:eastAsiaTheme="minorEastAsia" w:hAnsiTheme="minorEastAsia" w:cs="Arial" w:hint="eastAsia"/>
                <w:b/>
                <w:kern w:val="0"/>
                <w:sz w:val="24"/>
                <w:szCs w:val="24"/>
              </w:rPr>
              <w:t>公司注册资本为人民币</w:t>
            </w:r>
            <w:r w:rsidRPr="00972B52">
              <w:rPr>
                <w:rFonts w:asciiTheme="minorEastAsia" w:eastAsiaTheme="minorEastAsia" w:hAnsiTheme="minorEastAsia" w:cs="Arial"/>
                <w:b/>
                <w:kern w:val="0"/>
                <w:sz w:val="24"/>
                <w:szCs w:val="24"/>
              </w:rPr>
              <w:t>114,158.061</w:t>
            </w:r>
            <w:r w:rsidRPr="00972B52">
              <w:rPr>
                <w:rFonts w:asciiTheme="minorEastAsia" w:eastAsiaTheme="minorEastAsia" w:hAnsiTheme="minorEastAsia" w:cs="Arial" w:hint="eastAsia"/>
                <w:b/>
                <w:kern w:val="0"/>
                <w:sz w:val="24"/>
                <w:szCs w:val="24"/>
              </w:rPr>
              <w:t>万元，股份总数为</w:t>
            </w:r>
            <w:r w:rsidRPr="00972B52">
              <w:rPr>
                <w:rFonts w:asciiTheme="minorEastAsia" w:eastAsiaTheme="minorEastAsia" w:hAnsiTheme="minorEastAsia" w:cs="Arial"/>
                <w:b/>
                <w:kern w:val="0"/>
                <w:sz w:val="24"/>
                <w:szCs w:val="24"/>
              </w:rPr>
              <w:t>114,158.061</w:t>
            </w:r>
            <w:r w:rsidRPr="00972B52">
              <w:rPr>
                <w:rFonts w:asciiTheme="minorEastAsia" w:eastAsiaTheme="minorEastAsia" w:hAnsiTheme="minorEastAsia" w:cs="Arial" w:hint="eastAsia"/>
                <w:b/>
                <w:kern w:val="0"/>
                <w:sz w:val="24"/>
                <w:szCs w:val="24"/>
              </w:rPr>
              <w:t>万股，全部为普通股，每股面值1元人民币。</w:t>
            </w:r>
          </w:p>
        </w:tc>
      </w:tr>
    </w:tbl>
    <w:p w14:paraId="5CD941A2" w14:textId="26EC72A3" w:rsidR="00DC75E5" w:rsidRPr="00972B52" w:rsidRDefault="003135E9" w:rsidP="00DC75E5">
      <w:pPr>
        <w:pStyle w:val="a5"/>
        <w:pBdr>
          <w:top w:val="none" w:sz="0" w:space="0" w:color="auto"/>
          <w:left w:val="none" w:sz="0" w:space="0" w:color="auto"/>
          <w:bottom w:val="none" w:sz="0" w:space="0" w:color="auto"/>
          <w:right w:val="none" w:sz="0" w:space="0" w:color="auto"/>
          <w:between w:val="none" w:sz="0" w:space="0" w:color="auto"/>
        </w:pBdr>
        <w:spacing w:beforeLines="50" w:before="156" w:afterLines="50" w:after="156" w:line="360" w:lineRule="auto"/>
        <w:ind w:firstLineChars="200" w:firstLine="480"/>
        <w:rPr>
          <w:rFonts w:asciiTheme="minorEastAsia" w:eastAsiaTheme="minorEastAsia" w:hAnsiTheme="minorEastAsia" w:cs="Arial"/>
          <w:sz w:val="24"/>
          <w:szCs w:val="24"/>
        </w:rPr>
      </w:pPr>
      <w:r w:rsidRPr="00972B52">
        <w:rPr>
          <w:rFonts w:asciiTheme="minorEastAsia" w:eastAsiaTheme="minorEastAsia" w:hAnsiTheme="minorEastAsia" w:cs="Arial" w:hint="eastAsia"/>
          <w:sz w:val="24"/>
          <w:szCs w:val="24"/>
        </w:rPr>
        <w:t>公司上市后，医药市场发生较大变化，行业竞争激烈，加大科研投入、行业并购重组有利于公司提高核心竞争力，且有利于公司长期规划和长远发展，结合公司的发展需要及资金需求，促进公司及全体股东利益最大化与合理化，根据《上海证券交易所关于发布&lt;上海证券交易所上市公司现金分红指引&gt;的通知》、《上市公司监管指引第3号—上市公司现金分红》，《中国证券监督管理委员会关于进一步落实上市公司现金分红有关事项的通知》、《中国证券监督管理委员会关于修改上市公司现金分红若干规定的决定》等法律法规，公司拟对《公司章程》中利润分配方案进行调整，具体如下：</w:t>
      </w:r>
    </w:p>
    <w:tbl>
      <w:tblPr>
        <w:tblStyle w:val="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72B52" w:rsidRPr="00972B52" w14:paraId="6BE221F5" w14:textId="77777777" w:rsidTr="00EA3B9B">
        <w:trPr>
          <w:tblHeader/>
        </w:trPr>
        <w:tc>
          <w:tcPr>
            <w:tcW w:w="4261" w:type="dxa"/>
            <w:vAlign w:val="center"/>
          </w:tcPr>
          <w:p w14:paraId="7674D432" w14:textId="77777777" w:rsidR="003135E9" w:rsidRPr="00972B52" w:rsidRDefault="003135E9" w:rsidP="003135E9">
            <w:pPr>
              <w:widowControl/>
              <w:spacing w:line="320" w:lineRule="exact"/>
              <w:jc w:val="center"/>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修订前</w:t>
            </w:r>
          </w:p>
        </w:tc>
        <w:tc>
          <w:tcPr>
            <w:tcW w:w="4261" w:type="dxa"/>
            <w:vAlign w:val="center"/>
          </w:tcPr>
          <w:p w14:paraId="7AFD8B9E" w14:textId="77777777" w:rsidR="003135E9" w:rsidRPr="00972B52" w:rsidRDefault="003135E9" w:rsidP="003135E9">
            <w:pPr>
              <w:widowControl/>
              <w:spacing w:line="320" w:lineRule="exact"/>
              <w:jc w:val="center"/>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修订后</w:t>
            </w:r>
          </w:p>
        </w:tc>
      </w:tr>
      <w:tr w:rsidR="00972B52" w:rsidRPr="00972B52" w14:paraId="170A7406" w14:textId="77777777" w:rsidTr="00EA3B9B">
        <w:tc>
          <w:tcPr>
            <w:tcW w:w="4261" w:type="dxa"/>
          </w:tcPr>
          <w:p w14:paraId="5D3DB40E"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b/>
                <w:kern w:val="0"/>
                <w:sz w:val="24"/>
                <w:szCs w:val="24"/>
              </w:rPr>
              <w:t>第一百六十八条</w:t>
            </w:r>
            <w:r w:rsidRPr="00972B52">
              <w:rPr>
                <w:rFonts w:asciiTheme="minorEastAsia" w:eastAsiaTheme="minorEastAsia" w:hAnsiTheme="minorEastAsia" w:cs="Arial" w:hint="eastAsia"/>
                <w:kern w:val="0"/>
                <w:sz w:val="24"/>
                <w:szCs w:val="24"/>
              </w:rPr>
              <w:tab/>
            </w:r>
            <w:r w:rsidRPr="00972B52">
              <w:rPr>
                <w:rFonts w:asciiTheme="minorEastAsia" w:eastAsiaTheme="minorEastAsia" w:hAnsiTheme="minorEastAsia" w:cs="Arial"/>
                <w:kern w:val="0"/>
                <w:sz w:val="24"/>
                <w:szCs w:val="24"/>
              </w:rPr>
              <w:t>……</w:t>
            </w:r>
          </w:p>
          <w:p w14:paraId="23316743"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（三）公司应保持利润分配政策的连续性与稳定性，在满足现金分红条件时，公司如无重大投资计划或重大现金支出等事项发生，</w:t>
            </w:r>
            <w:r w:rsidRPr="00972B52">
              <w:rPr>
                <w:rFonts w:asciiTheme="minorEastAsia" w:eastAsiaTheme="minorEastAsia" w:hAnsiTheme="minorEastAsia" w:cs="Arial" w:hint="eastAsia"/>
                <w:b/>
                <w:kern w:val="0"/>
                <w:sz w:val="24"/>
                <w:szCs w:val="24"/>
              </w:rPr>
              <w:t>以现金方式分配的利润不少于当年实现的可分配利润的60%；如有重大投资计划或重大现金支出等</w:t>
            </w:r>
            <w:r w:rsidRPr="00972B52">
              <w:rPr>
                <w:rFonts w:asciiTheme="minorEastAsia" w:eastAsiaTheme="minorEastAsia" w:hAnsiTheme="minorEastAsia" w:cs="Arial" w:hint="eastAsia"/>
                <w:b/>
                <w:kern w:val="0"/>
                <w:sz w:val="24"/>
                <w:szCs w:val="24"/>
              </w:rPr>
              <w:lastRenderedPageBreak/>
              <w:t>事项发生，公司以现金方式分配的利润不少于当年实现的可分配利润的20%。</w:t>
            </w:r>
          </w:p>
          <w:p w14:paraId="39533794"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kern w:val="0"/>
                <w:sz w:val="24"/>
                <w:szCs w:val="24"/>
              </w:rPr>
              <w:t>……</w:t>
            </w:r>
          </w:p>
        </w:tc>
        <w:tc>
          <w:tcPr>
            <w:tcW w:w="4261" w:type="dxa"/>
          </w:tcPr>
          <w:p w14:paraId="4887F21F"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b/>
                <w:kern w:val="0"/>
                <w:sz w:val="24"/>
                <w:szCs w:val="24"/>
              </w:rPr>
              <w:lastRenderedPageBreak/>
              <w:t xml:space="preserve">第一百六十八条 </w:t>
            </w:r>
            <w:r w:rsidRPr="00972B52">
              <w:rPr>
                <w:rFonts w:asciiTheme="minorEastAsia" w:eastAsiaTheme="minorEastAsia" w:hAnsiTheme="minorEastAsia" w:cs="Arial" w:hint="eastAsia"/>
                <w:kern w:val="0"/>
                <w:sz w:val="24"/>
                <w:szCs w:val="24"/>
              </w:rPr>
              <w:t xml:space="preserve"> </w:t>
            </w:r>
            <w:r w:rsidRPr="00972B52">
              <w:rPr>
                <w:rFonts w:asciiTheme="minorEastAsia" w:eastAsiaTheme="minorEastAsia" w:hAnsiTheme="minorEastAsia" w:cs="Arial"/>
                <w:kern w:val="0"/>
                <w:sz w:val="24"/>
                <w:szCs w:val="24"/>
              </w:rPr>
              <w:t>……</w:t>
            </w:r>
          </w:p>
          <w:p w14:paraId="2260626F"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b/>
                <w:kern w:val="0"/>
                <w:sz w:val="24"/>
                <w:szCs w:val="24"/>
              </w:rPr>
            </w:pPr>
            <w:r w:rsidRPr="00972B52">
              <w:rPr>
                <w:rFonts w:asciiTheme="minorEastAsia" w:eastAsiaTheme="minorEastAsia" w:hAnsiTheme="minorEastAsia" w:cs="Arial" w:hint="eastAsia"/>
                <w:kern w:val="0"/>
                <w:sz w:val="24"/>
                <w:szCs w:val="24"/>
              </w:rPr>
              <w:t>（三）公司应保持利润分配政策的连续性与稳定性，在满足现金分红条件时，公司如无重大投资计划或重大现金支出等事项发生，</w:t>
            </w:r>
            <w:r w:rsidRPr="00972B52">
              <w:rPr>
                <w:rFonts w:asciiTheme="minorEastAsia" w:eastAsiaTheme="minorEastAsia" w:hAnsiTheme="minorEastAsia" w:cs="Arial" w:hint="eastAsia"/>
                <w:b/>
                <w:kern w:val="0"/>
                <w:sz w:val="24"/>
                <w:szCs w:val="24"/>
              </w:rPr>
              <w:t>以现金方式分配的利润不少于当年实现的可分配利润的30%； 如出现其他情况，按相关法律法规及规</w:t>
            </w:r>
            <w:r w:rsidRPr="00972B52">
              <w:rPr>
                <w:rFonts w:asciiTheme="minorEastAsia" w:eastAsiaTheme="minorEastAsia" w:hAnsiTheme="minorEastAsia" w:cs="Arial" w:hint="eastAsia"/>
                <w:b/>
                <w:kern w:val="0"/>
                <w:sz w:val="24"/>
                <w:szCs w:val="24"/>
              </w:rPr>
              <w:lastRenderedPageBreak/>
              <w:t>范性文件的规定履行相关程序。</w:t>
            </w:r>
          </w:p>
          <w:p w14:paraId="66AD07A0"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kern w:val="0"/>
                <w:sz w:val="24"/>
                <w:szCs w:val="24"/>
              </w:rPr>
              <w:t>……</w:t>
            </w:r>
          </w:p>
        </w:tc>
      </w:tr>
      <w:tr w:rsidR="00972B52" w:rsidRPr="00972B52" w14:paraId="0AD4B463" w14:textId="77777777" w:rsidTr="00EA3B9B">
        <w:tc>
          <w:tcPr>
            <w:tcW w:w="4261" w:type="dxa"/>
          </w:tcPr>
          <w:p w14:paraId="0711B711"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b/>
                <w:kern w:val="0"/>
                <w:sz w:val="24"/>
                <w:szCs w:val="24"/>
              </w:rPr>
              <w:lastRenderedPageBreak/>
              <w:t>第一百六十九条</w:t>
            </w:r>
            <w:r w:rsidRPr="00972B52">
              <w:rPr>
                <w:rFonts w:asciiTheme="minorEastAsia" w:eastAsiaTheme="minorEastAsia" w:hAnsiTheme="minorEastAsia" w:cs="Arial" w:hint="eastAsia"/>
                <w:kern w:val="0"/>
                <w:sz w:val="24"/>
                <w:szCs w:val="24"/>
              </w:rPr>
              <w:tab/>
            </w:r>
            <w:r w:rsidRPr="00972B52">
              <w:rPr>
                <w:rFonts w:asciiTheme="minorEastAsia" w:eastAsiaTheme="minorEastAsia" w:hAnsiTheme="minorEastAsia" w:cs="Arial"/>
                <w:kern w:val="0"/>
                <w:sz w:val="24"/>
                <w:szCs w:val="24"/>
              </w:rPr>
              <w:t xml:space="preserve"> </w:t>
            </w:r>
            <w:r w:rsidRPr="00972B52">
              <w:rPr>
                <w:rFonts w:asciiTheme="minorEastAsia" w:eastAsiaTheme="minorEastAsia" w:hAnsiTheme="minorEastAsia" w:cs="Arial" w:hint="eastAsia"/>
                <w:kern w:val="0"/>
                <w:sz w:val="24"/>
                <w:szCs w:val="24"/>
              </w:rPr>
              <w:t>公司应当制定《股东分红回报规划》，经董事会审议后提交股东大会审议决定。公司董事会应当根据股东大会审议通过的《股东分红回报规划》中确定的利润分配政策，制定分配预案。</w:t>
            </w:r>
          </w:p>
          <w:p w14:paraId="4DA8B315"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公司至少每三年重新审议一次《股东分红回报规划》。根据公司实际生产经营情况、投资规划和长期发展的需要确需调整《股东分红回报规划》中确定的利润分配政策的，应当根据股东（特别是公众投资者）、独立董事和监事的意见</w:t>
            </w:r>
            <w:proofErr w:type="gramStart"/>
            <w:r w:rsidRPr="00972B52">
              <w:rPr>
                <w:rFonts w:asciiTheme="minorEastAsia" w:eastAsiaTheme="minorEastAsia" w:hAnsiTheme="minorEastAsia" w:cs="Arial" w:hint="eastAsia"/>
                <w:kern w:val="0"/>
                <w:sz w:val="24"/>
                <w:szCs w:val="24"/>
              </w:rPr>
              <w:t>作出</w:t>
            </w:r>
            <w:proofErr w:type="gramEnd"/>
            <w:r w:rsidRPr="00972B52">
              <w:rPr>
                <w:rFonts w:asciiTheme="minorEastAsia" w:eastAsiaTheme="minorEastAsia" w:hAnsiTheme="minorEastAsia" w:cs="Arial" w:hint="eastAsia"/>
                <w:kern w:val="0"/>
                <w:sz w:val="24"/>
                <w:szCs w:val="24"/>
              </w:rPr>
              <w:t>适当</w:t>
            </w:r>
            <w:proofErr w:type="gramStart"/>
            <w:r w:rsidRPr="00972B52">
              <w:rPr>
                <w:rFonts w:asciiTheme="minorEastAsia" w:eastAsiaTheme="minorEastAsia" w:hAnsiTheme="minorEastAsia" w:cs="Arial" w:hint="eastAsia"/>
                <w:kern w:val="0"/>
                <w:sz w:val="24"/>
                <w:szCs w:val="24"/>
              </w:rPr>
              <w:t>且必要</w:t>
            </w:r>
            <w:proofErr w:type="gramEnd"/>
            <w:r w:rsidRPr="00972B52">
              <w:rPr>
                <w:rFonts w:asciiTheme="minorEastAsia" w:eastAsiaTheme="minorEastAsia" w:hAnsiTheme="minorEastAsia" w:cs="Arial" w:hint="eastAsia"/>
                <w:kern w:val="0"/>
                <w:sz w:val="24"/>
                <w:szCs w:val="24"/>
              </w:rPr>
              <w:t>的修改。经调整后的《股东分红回报规划》不得违反坚持现金分红为主。</w:t>
            </w:r>
            <w:r w:rsidRPr="00972B52">
              <w:rPr>
                <w:rFonts w:asciiTheme="minorEastAsia" w:eastAsiaTheme="minorEastAsia" w:hAnsiTheme="minorEastAsia" w:cs="Arial" w:hint="eastAsia"/>
                <w:b/>
                <w:kern w:val="0"/>
                <w:sz w:val="24"/>
                <w:szCs w:val="24"/>
              </w:rPr>
              <w:t>如公司无重大投资计划或重大现金支出等事项发生，以现金方式分配的利润不少于当年实现的可分配利润的60%；如有重大投资计划或重大现金支出等事项发生，公司以现金方式分配的利润不少于当年实现的可分配利润的20%的基本原则，以及中国证监会和证券交易所的有关规定。有关调整利润分配政策的议案需经公司董事会审议后提交公司股东大会审议决定。</w:t>
            </w:r>
          </w:p>
        </w:tc>
        <w:tc>
          <w:tcPr>
            <w:tcW w:w="4261" w:type="dxa"/>
          </w:tcPr>
          <w:p w14:paraId="5BEB1766"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b/>
                <w:kern w:val="0"/>
                <w:sz w:val="24"/>
                <w:szCs w:val="24"/>
              </w:rPr>
              <w:t>第一百六十九条</w:t>
            </w:r>
            <w:r w:rsidRPr="00972B52">
              <w:rPr>
                <w:rFonts w:asciiTheme="minorEastAsia" w:eastAsiaTheme="minorEastAsia" w:hAnsiTheme="minorEastAsia" w:cs="Arial" w:hint="eastAsia"/>
                <w:kern w:val="0"/>
                <w:sz w:val="24"/>
                <w:szCs w:val="24"/>
              </w:rPr>
              <w:tab/>
            </w:r>
            <w:r w:rsidRPr="00972B52">
              <w:rPr>
                <w:rFonts w:asciiTheme="minorEastAsia" w:eastAsiaTheme="minorEastAsia" w:hAnsiTheme="minorEastAsia" w:cs="Arial"/>
                <w:kern w:val="0"/>
                <w:sz w:val="24"/>
                <w:szCs w:val="24"/>
              </w:rPr>
              <w:t xml:space="preserve"> </w:t>
            </w:r>
            <w:r w:rsidRPr="00972B52">
              <w:rPr>
                <w:rFonts w:asciiTheme="minorEastAsia" w:eastAsiaTheme="minorEastAsia" w:hAnsiTheme="minorEastAsia" w:cs="Arial" w:hint="eastAsia"/>
                <w:kern w:val="0"/>
                <w:sz w:val="24"/>
                <w:szCs w:val="24"/>
              </w:rPr>
              <w:t>公司应当制定《股东分红回报规划》，经董事会审议后提交股东大会审议决定。公司董事会应当根据股东大会审议通过的《股东分红回报规划》中确定的利润分配政策，制定分配预案。</w:t>
            </w:r>
          </w:p>
          <w:p w14:paraId="64ED9E09" w14:textId="77777777" w:rsidR="003135E9" w:rsidRPr="00972B52" w:rsidRDefault="003135E9" w:rsidP="003135E9">
            <w:pPr>
              <w:widowControl/>
              <w:spacing w:before="100" w:beforeAutospacing="1" w:after="100" w:afterAutospacing="1" w:line="360" w:lineRule="auto"/>
              <w:rPr>
                <w:rFonts w:asciiTheme="minorEastAsia" w:eastAsiaTheme="minorEastAsia" w:hAnsiTheme="minorEastAsia" w:cs="Arial"/>
                <w:kern w:val="0"/>
                <w:sz w:val="24"/>
                <w:szCs w:val="24"/>
              </w:rPr>
            </w:pPr>
            <w:r w:rsidRPr="00972B52">
              <w:rPr>
                <w:rFonts w:asciiTheme="minorEastAsia" w:eastAsiaTheme="minorEastAsia" w:hAnsiTheme="minorEastAsia" w:cs="Arial" w:hint="eastAsia"/>
                <w:kern w:val="0"/>
                <w:sz w:val="24"/>
                <w:szCs w:val="24"/>
              </w:rPr>
              <w:t>公司至少每三年重新审议一次《股东分红回报规划》。根据公司实际生产经营情况、投资规划和长期发展的需要确需调整《股东分红回报规划》中确定的利润分配政策的，应当根据股东（特别是公众投资者）、独立董事和监事的意见</w:t>
            </w:r>
            <w:proofErr w:type="gramStart"/>
            <w:r w:rsidRPr="00972B52">
              <w:rPr>
                <w:rFonts w:asciiTheme="minorEastAsia" w:eastAsiaTheme="minorEastAsia" w:hAnsiTheme="minorEastAsia" w:cs="Arial" w:hint="eastAsia"/>
                <w:kern w:val="0"/>
                <w:sz w:val="24"/>
                <w:szCs w:val="24"/>
              </w:rPr>
              <w:t>作出</w:t>
            </w:r>
            <w:proofErr w:type="gramEnd"/>
            <w:r w:rsidRPr="00972B52">
              <w:rPr>
                <w:rFonts w:asciiTheme="minorEastAsia" w:eastAsiaTheme="minorEastAsia" w:hAnsiTheme="minorEastAsia" w:cs="Arial" w:hint="eastAsia"/>
                <w:kern w:val="0"/>
                <w:sz w:val="24"/>
                <w:szCs w:val="24"/>
              </w:rPr>
              <w:t>适当</w:t>
            </w:r>
            <w:proofErr w:type="gramStart"/>
            <w:r w:rsidRPr="00972B52">
              <w:rPr>
                <w:rFonts w:asciiTheme="minorEastAsia" w:eastAsiaTheme="minorEastAsia" w:hAnsiTheme="minorEastAsia" w:cs="Arial" w:hint="eastAsia"/>
                <w:kern w:val="0"/>
                <w:sz w:val="24"/>
                <w:szCs w:val="24"/>
              </w:rPr>
              <w:t>且必要</w:t>
            </w:r>
            <w:proofErr w:type="gramEnd"/>
            <w:r w:rsidRPr="00972B52">
              <w:rPr>
                <w:rFonts w:asciiTheme="minorEastAsia" w:eastAsiaTheme="minorEastAsia" w:hAnsiTheme="minorEastAsia" w:cs="Arial" w:hint="eastAsia"/>
                <w:kern w:val="0"/>
                <w:sz w:val="24"/>
                <w:szCs w:val="24"/>
              </w:rPr>
              <w:t>的修改。经调整后的《股东分红回报规划》不得违反坚持现金分红为主。</w:t>
            </w:r>
          </w:p>
        </w:tc>
      </w:tr>
    </w:tbl>
    <w:p w14:paraId="78D56DE0" w14:textId="7B275CC1" w:rsidR="006048D3" w:rsidRPr="00972B52" w:rsidRDefault="006048D3" w:rsidP="003135E9">
      <w:pPr>
        <w:pStyle w:val="a5"/>
        <w:spacing w:beforeLines="50" w:before="156" w:afterLines="50" w:after="156" w:line="360" w:lineRule="auto"/>
        <w:ind w:firstLineChars="200" w:firstLine="480"/>
        <w:rPr>
          <w:rFonts w:asciiTheme="minorEastAsia" w:eastAsiaTheme="minorEastAsia" w:hAnsiTheme="minorEastAsia" w:cs="Arial"/>
          <w:sz w:val="24"/>
          <w:szCs w:val="24"/>
        </w:rPr>
      </w:pPr>
      <w:r w:rsidRPr="00972B52">
        <w:rPr>
          <w:rFonts w:asciiTheme="minorEastAsia" w:eastAsiaTheme="minorEastAsia" w:hAnsiTheme="minorEastAsia" w:cs="Arial"/>
          <w:sz w:val="24"/>
          <w:szCs w:val="24"/>
        </w:rPr>
        <w:lastRenderedPageBreak/>
        <w:t>独立董事已对以上利润分配方案的调整</w:t>
      </w:r>
      <w:r w:rsidRPr="00972B52">
        <w:rPr>
          <w:rFonts w:asciiTheme="minorEastAsia" w:eastAsiaTheme="minorEastAsia" w:hAnsiTheme="minorEastAsia" w:cs="Arial" w:hint="eastAsia"/>
          <w:sz w:val="24"/>
          <w:szCs w:val="24"/>
        </w:rPr>
        <w:t>发表同意意见。</w:t>
      </w:r>
    </w:p>
    <w:p w14:paraId="591EED2F" w14:textId="77777777" w:rsidR="003135E9" w:rsidRPr="00972B52" w:rsidRDefault="003135E9" w:rsidP="003135E9">
      <w:pPr>
        <w:pStyle w:val="a5"/>
        <w:spacing w:beforeLines="50" w:before="156" w:afterLines="50" w:after="156" w:line="360" w:lineRule="auto"/>
        <w:ind w:firstLineChars="200" w:firstLine="480"/>
        <w:rPr>
          <w:rFonts w:asciiTheme="minorEastAsia" w:eastAsiaTheme="minorEastAsia" w:hAnsiTheme="minorEastAsia" w:cs="Arial"/>
          <w:sz w:val="24"/>
          <w:szCs w:val="24"/>
        </w:rPr>
      </w:pPr>
      <w:r w:rsidRPr="00972B52">
        <w:rPr>
          <w:rFonts w:asciiTheme="minorEastAsia" w:eastAsiaTheme="minorEastAsia" w:hAnsiTheme="minorEastAsia" w:cs="Arial" w:hint="eastAsia"/>
          <w:sz w:val="24"/>
          <w:szCs w:val="24"/>
        </w:rPr>
        <w:t>除上述条款修订外，公司章程的其他内容不变。</w:t>
      </w:r>
    </w:p>
    <w:p w14:paraId="127E021D" w14:textId="4896A8B8" w:rsidR="003135E9" w:rsidRPr="00972B52" w:rsidRDefault="00F02E48" w:rsidP="003135E9">
      <w:pPr>
        <w:pStyle w:val="a5"/>
        <w:spacing w:beforeLines="50" w:before="156" w:afterLines="50" w:after="156" w:line="360" w:lineRule="auto"/>
        <w:ind w:firstLineChars="200" w:firstLine="480"/>
        <w:rPr>
          <w:rFonts w:asciiTheme="minorEastAsia" w:eastAsiaTheme="minorEastAsia" w:hAnsiTheme="minorEastAsia" w:cs="Arial"/>
          <w:sz w:val="24"/>
          <w:szCs w:val="24"/>
        </w:rPr>
      </w:pPr>
      <w:r w:rsidRPr="00972B52">
        <w:rPr>
          <w:rFonts w:asciiTheme="minorEastAsia" w:eastAsiaTheme="minorEastAsia" w:hAnsiTheme="minorEastAsia" w:cs="Arial" w:hint="eastAsia"/>
          <w:sz w:val="24"/>
          <w:szCs w:val="24"/>
        </w:rPr>
        <w:t>修改后的公司章程于同日披露在</w:t>
      </w:r>
      <w:r w:rsidR="003135E9" w:rsidRPr="00972B52">
        <w:rPr>
          <w:rFonts w:asciiTheme="minorEastAsia" w:eastAsiaTheme="minorEastAsia" w:hAnsiTheme="minorEastAsia" w:cs="Arial" w:hint="eastAsia"/>
          <w:sz w:val="24"/>
          <w:szCs w:val="24"/>
        </w:rPr>
        <w:t>上海证券交易所网站（www.sse.com.cn）。</w:t>
      </w:r>
    </w:p>
    <w:p w14:paraId="2C0B0334" w14:textId="235E6F02" w:rsidR="0045064A" w:rsidRPr="00972B52" w:rsidRDefault="003135E9" w:rsidP="003135E9">
      <w:pPr>
        <w:pStyle w:val="a5"/>
        <w:pBdr>
          <w:top w:val="none" w:sz="0" w:space="0" w:color="auto"/>
          <w:left w:val="none" w:sz="0" w:space="0" w:color="auto"/>
          <w:bottom w:val="none" w:sz="0" w:space="0" w:color="auto"/>
          <w:right w:val="none" w:sz="0" w:space="0" w:color="auto"/>
          <w:between w:val="none" w:sz="0" w:space="0" w:color="auto"/>
        </w:pBdr>
        <w:spacing w:beforeLines="50" w:before="156" w:afterLines="50" w:after="156" w:line="360" w:lineRule="auto"/>
        <w:ind w:firstLineChars="200" w:firstLine="480"/>
        <w:rPr>
          <w:rFonts w:asciiTheme="minorEastAsia" w:eastAsiaTheme="minorEastAsia" w:hAnsiTheme="minorEastAsia" w:cs="Arial"/>
          <w:sz w:val="24"/>
          <w:szCs w:val="24"/>
        </w:rPr>
      </w:pPr>
      <w:r w:rsidRPr="00972B52">
        <w:rPr>
          <w:rFonts w:asciiTheme="minorEastAsia" w:eastAsiaTheme="minorEastAsia" w:hAnsiTheme="minorEastAsia" w:cs="Arial" w:hint="eastAsia"/>
          <w:sz w:val="24"/>
          <w:szCs w:val="24"/>
        </w:rPr>
        <w:t>本次</w:t>
      </w:r>
      <w:r w:rsidR="006048D3" w:rsidRPr="00972B52">
        <w:rPr>
          <w:rFonts w:asciiTheme="minorEastAsia" w:eastAsiaTheme="minorEastAsia" w:hAnsiTheme="minorEastAsia" w:cs="Arial" w:hint="eastAsia"/>
          <w:sz w:val="24"/>
          <w:szCs w:val="24"/>
        </w:rPr>
        <w:t>调整利润分配方案、增加公司注册资本及修订公司章程</w:t>
      </w:r>
      <w:r w:rsidRPr="00972B52">
        <w:rPr>
          <w:rFonts w:asciiTheme="minorEastAsia" w:eastAsiaTheme="minorEastAsia" w:hAnsiTheme="minorEastAsia" w:cs="Arial" w:hint="eastAsia"/>
          <w:sz w:val="24"/>
          <w:szCs w:val="24"/>
        </w:rPr>
        <w:t xml:space="preserve">尚需经公司股东大会审议通过。 </w:t>
      </w:r>
    </w:p>
    <w:p w14:paraId="57F68B97" w14:textId="3D86A960" w:rsidR="003135E9" w:rsidRPr="00972B52" w:rsidRDefault="003135E9" w:rsidP="003135E9">
      <w:pPr>
        <w:pStyle w:val="a5"/>
        <w:pBdr>
          <w:top w:val="none" w:sz="0" w:space="0" w:color="auto"/>
          <w:left w:val="none" w:sz="0" w:space="0" w:color="auto"/>
          <w:bottom w:val="none" w:sz="0" w:space="0" w:color="auto"/>
          <w:right w:val="none" w:sz="0" w:space="0" w:color="auto"/>
          <w:between w:val="none" w:sz="0" w:space="0" w:color="auto"/>
        </w:pBdr>
        <w:spacing w:beforeLines="50" w:before="156" w:afterLines="50" w:after="156" w:line="360" w:lineRule="auto"/>
        <w:ind w:firstLineChars="200" w:firstLine="480"/>
        <w:rPr>
          <w:rFonts w:asciiTheme="minorEastAsia" w:eastAsiaTheme="minorEastAsia" w:hAnsiTheme="minorEastAsia" w:cs="Arial"/>
          <w:sz w:val="24"/>
          <w:szCs w:val="24"/>
        </w:rPr>
      </w:pPr>
      <w:r w:rsidRPr="00972B52">
        <w:rPr>
          <w:rFonts w:asciiTheme="minorEastAsia" w:eastAsiaTheme="minorEastAsia" w:hAnsiTheme="minorEastAsia" w:cs="Arial" w:hint="eastAsia"/>
          <w:sz w:val="24"/>
          <w:szCs w:val="24"/>
        </w:rPr>
        <w:t>特此公告。</w:t>
      </w:r>
    </w:p>
    <w:p w14:paraId="0233D57B" w14:textId="77777777" w:rsidR="003135E9" w:rsidRPr="00972B52" w:rsidRDefault="003135E9" w:rsidP="003135E9">
      <w:pPr>
        <w:pStyle w:val="a5"/>
        <w:pBdr>
          <w:top w:val="none" w:sz="0" w:space="0" w:color="auto"/>
          <w:left w:val="none" w:sz="0" w:space="0" w:color="auto"/>
          <w:bottom w:val="none" w:sz="0" w:space="0" w:color="auto"/>
          <w:right w:val="none" w:sz="0" w:space="0" w:color="auto"/>
          <w:between w:val="none" w:sz="0" w:space="0" w:color="auto"/>
        </w:pBdr>
        <w:spacing w:beforeLines="50" w:before="156" w:afterLines="50" w:after="156" w:line="360" w:lineRule="auto"/>
        <w:ind w:firstLineChars="200" w:firstLine="480"/>
        <w:rPr>
          <w:rFonts w:asciiTheme="minorEastAsia" w:eastAsiaTheme="minorEastAsia" w:hAnsiTheme="minorEastAsia" w:cs="Arial"/>
          <w:sz w:val="24"/>
          <w:szCs w:val="24"/>
        </w:rPr>
      </w:pPr>
    </w:p>
    <w:p w14:paraId="68F99022" w14:textId="3955D388" w:rsidR="00EB670F" w:rsidRPr="00972B52" w:rsidRDefault="00EB670F" w:rsidP="00F02DD7">
      <w:pPr>
        <w:autoSpaceDE w:val="0"/>
        <w:autoSpaceDN w:val="0"/>
        <w:spacing w:beforeLines="50" w:before="156" w:afterLines="50" w:after="156" w:line="360" w:lineRule="auto"/>
        <w:ind w:firstLineChars="200" w:firstLine="480"/>
        <w:jc w:val="right"/>
        <w:rPr>
          <w:rFonts w:asciiTheme="minorEastAsia" w:eastAsiaTheme="minorEastAsia" w:hAnsiTheme="minorEastAsia"/>
          <w:sz w:val="24"/>
        </w:rPr>
      </w:pPr>
      <w:r w:rsidRPr="00972B52">
        <w:rPr>
          <w:rFonts w:asciiTheme="minorEastAsia" w:eastAsiaTheme="minorEastAsia" w:hAnsiTheme="minorEastAsia"/>
          <w:sz w:val="24"/>
        </w:rPr>
        <w:t>山东步长制药股份有限公司董事会</w:t>
      </w:r>
    </w:p>
    <w:p w14:paraId="37429267" w14:textId="37DA7581" w:rsidR="00EB670F" w:rsidRPr="00972B52" w:rsidRDefault="00EB670F" w:rsidP="00946048">
      <w:pPr>
        <w:wordWrap w:val="0"/>
        <w:autoSpaceDE w:val="0"/>
        <w:autoSpaceDN w:val="0"/>
        <w:spacing w:beforeLines="50" w:before="156" w:afterLines="50" w:after="156" w:line="360" w:lineRule="auto"/>
        <w:ind w:right="480" w:firstLineChars="200" w:firstLine="480"/>
        <w:jc w:val="right"/>
        <w:rPr>
          <w:rFonts w:asciiTheme="minorEastAsia" w:eastAsiaTheme="minorEastAsia" w:hAnsiTheme="minorEastAsia"/>
        </w:rPr>
      </w:pPr>
      <w:r w:rsidRPr="00972B52">
        <w:rPr>
          <w:rFonts w:asciiTheme="minorEastAsia" w:eastAsiaTheme="minorEastAsia" w:hAnsiTheme="minorEastAsia"/>
          <w:sz w:val="24"/>
        </w:rPr>
        <w:t>201</w:t>
      </w:r>
      <w:r w:rsidR="006014D2" w:rsidRPr="00972B52">
        <w:rPr>
          <w:rFonts w:asciiTheme="minorEastAsia" w:eastAsiaTheme="minorEastAsia" w:hAnsiTheme="minorEastAsia"/>
          <w:sz w:val="24"/>
        </w:rPr>
        <w:t>9</w:t>
      </w:r>
      <w:r w:rsidRPr="00972B52">
        <w:rPr>
          <w:rFonts w:asciiTheme="minorEastAsia" w:eastAsiaTheme="minorEastAsia" w:hAnsiTheme="minorEastAsia"/>
          <w:sz w:val="24"/>
        </w:rPr>
        <w:t>年</w:t>
      </w:r>
      <w:r w:rsidR="00347CC7" w:rsidRPr="00972B52">
        <w:rPr>
          <w:rFonts w:asciiTheme="minorEastAsia" w:eastAsiaTheme="minorEastAsia" w:hAnsiTheme="minorEastAsia" w:hint="eastAsia"/>
          <w:sz w:val="24"/>
        </w:rPr>
        <w:t>12</w:t>
      </w:r>
      <w:r w:rsidRPr="00972B52">
        <w:rPr>
          <w:rFonts w:asciiTheme="minorEastAsia" w:eastAsiaTheme="minorEastAsia" w:hAnsiTheme="minorEastAsia"/>
          <w:sz w:val="24"/>
        </w:rPr>
        <w:t>月</w:t>
      </w:r>
      <w:r w:rsidR="006014D2" w:rsidRPr="00972B52">
        <w:rPr>
          <w:rFonts w:asciiTheme="minorEastAsia" w:eastAsiaTheme="minorEastAsia" w:hAnsiTheme="minorEastAsia"/>
          <w:sz w:val="24"/>
        </w:rPr>
        <w:t>3</w:t>
      </w:r>
      <w:r w:rsidRPr="00972B52">
        <w:rPr>
          <w:rFonts w:asciiTheme="minorEastAsia" w:eastAsiaTheme="minorEastAsia" w:hAnsiTheme="minorEastAsia"/>
          <w:sz w:val="24"/>
        </w:rPr>
        <w:t xml:space="preserve">日 </w:t>
      </w:r>
    </w:p>
    <w:p w14:paraId="0FF74BEB" w14:textId="77777777" w:rsidR="004119BE" w:rsidRPr="00972B52" w:rsidRDefault="004119BE" w:rsidP="00C11A45">
      <w:pPr>
        <w:spacing w:beforeLines="50" w:before="156" w:afterLines="50" w:after="156" w:line="360" w:lineRule="auto"/>
        <w:jc w:val="center"/>
        <w:rPr>
          <w:rFonts w:asciiTheme="minorEastAsia" w:eastAsiaTheme="minorEastAsia" w:hAnsiTheme="minorEastAsia"/>
        </w:rPr>
      </w:pPr>
    </w:p>
    <w:sectPr w:rsidR="004119BE" w:rsidRPr="00972B52" w:rsidSect="002B6B80">
      <w:headerReference w:type="default" r:id="rId8"/>
      <w:pgSz w:w="11906" w:h="16838"/>
      <w:pgMar w:top="1440" w:right="1800" w:bottom="1440" w:left="1800" w:header="851" w:footer="992" w:gutter="0"/>
      <w:cols w:space="425"/>
      <w:rtlGutter/>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7E60E6" w16cid:durableId="1FC505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80C0" w14:textId="77777777" w:rsidR="00C44682" w:rsidRDefault="00C44682" w:rsidP="00F1114A">
      <w:r>
        <w:separator/>
      </w:r>
    </w:p>
  </w:endnote>
  <w:endnote w:type="continuationSeparator" w:id="0">
    <w:p w14:paraId="62C06CEF" w14:textId="77777777" w:rsidR="00C44682" w:rsidRDefault="00C44682" w:rsidP="00F1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CB81F" w14:textId="77777777" w:rsidR="00C44682" w:rsidRDefault="00C44682" w:rsidP="00F1114A">
      <w:r>
        <w:separator/>
      </w:r>
    </w:p>
  </w:footnote>
  <w:footnote w:type="continuationSeparator" w:id="0">
    <w:p w14:paraId="16C466DE" w14:textId="77777777" w:rsidR="00C44682" w:rsidRDefault="00C44682" w:rsidP="00F11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5C1B2" w14:textId="77777777" w:rsidR="00EB670F" w:rsidRDefault="00EB670F" w:rsidP="00082E7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052"/>
    <w:multiLevelType w:val="hybridMultilevel"/>
    <w:tmpl w:val="ED7C2B78"/>
    <w:lvl w:ilvl="0" w:tplc="C45E0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B72CE3"/>
    <w:multiLevelType w:val="hybridMultilevel"/>
    <w:tmpl w:val="4B64911A"/>
    <w:lvl w:ilvl="0" w:tplc="3E7EEA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B327DC7"/>
    <w:multiLevelType w:val="hybridMultilevel"/>
    <w:tmpl w:val="245E89AC"/>
    <w:lvl w:ilvl="0" w:tplc="0B4842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F524E41"/>
    <w:multiLevelType w:val="multilevel"/>
    <w:tmpl w:val="1F524E41"/>
    <w:lvl w:ilvl="0">
      <w:start w:val="1"/>
      <w:numFmt w:val="decimalEnclosedCircle"/>
      <w:lvlText w:val="%1"/>
      <w:lvlJc w:val="left"/>
      <w:pPr>
        <w:ind w:left="839" w:hanging="360"/>
      </w:pPr>
      <w:rPr>
        <w:rFonts w:ascii="宋体" w:hAnsi="宋体" w:cs="Calibri"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4">
    <w:nsid w:val="22FE2D78"/>
    <w:multiLevelType w:val="hybridMultilevel"/>
    <w:tmpl w:val="77CAE88E"/>
    <w:lvl w:ilvl="0" w:tplc="E8301EE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75C1DDF"/>
    <w:multiLevelType w:val="multilevel"/>
    <w:tmpl w:val="275C1DD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FE6617"/>
    <w:multiLevelType w:val="hybridMultilevel"/>
    <w:tmpl w:val="F6780746"/>
    <w:lvl w:ilvl="0" w:tplc="0EECC12A">
      <w:start w:val="2"/>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55C17314"/>
    <w:multiLevelType w:val="singleLevel"/>
    <w:tmpl w:val="55C17314"/>
    <w:lvl w:ilvl="0">
      <w:start w:val="1"/>
      <w:numFmt w:val="decimal"/>
      <w:suff w:val="nothing"/>
      <w:lvlText w:val="%1、"/>
      <w:lvlJc w:val="left"/>
    </w:lvl>
  </w:abstractNum>
  <w:abstractNum w:abstractNumId="8">
    <w:nsid w:val="57747E61"/>
    <w:multiLevelType w:val="singleLevel"/>
    <w:tmpl w:val="57747E61"/>
    <w:lvl w:ilvl="0">
      <w:start w:val="1"/>
      <w:numFmt w:val="decimal"/>
      <w:suff w:val="nothing"/>
      <w:lvlText w:val="（%1）"/>
      <w:lvlJc w:val="left"/>
    </w:lvl>
  </w:abstractNum>
  <w:abstractNum w:abstractNumId="9">
    <w:nsid w:val="67F20744"/>
    <w:multiLevelType w:val="hybridMultilevel"/>
    <w:tmpl w:val="1C1CDC4C"/>
    <w:lvl w:ilvl="0" w:tplc="1A62A406">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nsid w:val="680B4291"/>
    <w:multiLevelType w:val="hybridMultilevel"/>
    <w:tmpl w:val="950A0862"/>
    <w:lvl w:ilvl="0" w:tplc="40AA03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A776E48"/>
    <w:multiLevelType w:val="hybridMultilevel"/>
    <w:tmpl w:val="B07AF000"/>
    <w:lvl w:ilvl="0" w:tplc="BDA632E0">
      <w:start w:val="1"/>
      <w:numFmt w:val="decimal"/>
      <w:lvlText w:val="%1、"/>
      <w:lvlJc w:val="left"/>
      <w:pPr>
        <w:ind w:left="840" w:hanging="360"/>
      </w:pPr>
      <w:rPr>
        <w:rFonts w:hint="default"/>
      </w:rPr>
    </w:lvl>
    <w:lvl w:ilvl="1" w:tplc="F9141976">
      <w:start w:val="1"/>
      <w:numFmt w:val="decimal"/>
      <w:lvlText w:val="%2）"/>
      <w:lvlJc w:val="left"/>
      <w:pPr>
        <w:ind w:left="1260" w:hanging="360"/>
      </w:pPr>
      <w:rPr>
        <w:rFonts w:hint="default"/>
        <w:color w:val="auto"/>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4"/>
  </w:num>
  <w:num w:numId="4">
    <w:abstractNumId w:val="1"/>
  </w:num>
  <w:num w:numId="5">
    <w:abstractNumId w:val="7"/>
  </w:num>
  <w:num w:numId="6">
    <w:abstractNumId w:val="8"/>
  </w:num>
  <w:num w:numId="7">
    <w:abstractNumId w:val="10"/>
  </w:num>
  <w:num w:numId="8">
    <w:abstractNumId w:val="3"/>
  </w:num>
  <w:num w:numId="9">
    <w:abstractNumId w:val="11"/>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4A"/>
    <w:rsid w:val="00001650"/>
    <w:rsid w:val="0000573B"/>
    <w:rsid w:val="00026DFE"/>
    <w:rsid w:val="000277F3"/>
    <w:rsid w:val="000305A2"/>
    <w:rsid w:val="00033813"/>
    <w:rsid w:val="00045F19"/>
    <w:rsid w:val="000475AE"/>
    <w:rsid w:val="00047DF8"/>
    <w:rsid w:val="00050A65"/>
    <w:rsid w:val="00051D03"/>
    <w:rsid w:val="00061F94"/>
    <w:rsid w:val="000636D2"/>
    <w:rsid w:val="0007291C"/>
    <w:rsid w:val="00077412"/>
    <w:rsid w:val="000807C9"/>
    <w:rsid w:val="00082E7A"/>
    <w:rsid w:val="00091376"/>
    <w:rsid w:val="00096A79"/>
    <w:rsid w:val="00097CD0"/>
    <w:rsid w:val="00097F5F"/>
    <w:rsid w:val="000A3417"/>
    <w:rsid w:val="000A6781"/>
    <w:rsid w:val="000A68C8"/>
    <w:rsid w:val="000B02AB"/>
    <w:rsid w:val="000B577F"/>
    <w:rsid w:val="000C179E"/>
    <w:rsid w:val="000D3026"/>
    <w:rsid w:val="000E0371"/>
    <w:rsid w:val="000E0A3C"/>
    <w:rsid w:val="000F4B94"/>
    <w:rsid w:val="000F744C"/>
    <w:rsid w:val="000F7870"/>
    <w:rsid w:val="0010150F"/>
    <w:rsid w:val="00102781"/>
    <w:rsid w:val="00105C52"/>
    <w:rsid w:val="00115C0B"/>
    <w:rsid w:val="00131480"/>
    <w:rsid w:val="001376AE"/>
    <w:rsid w:val="001401BF"/>
    <w:rsid w:val="001441E1"/>
    <w:rsid w:val="00147A04"/>
    <w:rsid w:val="00147C55"/>
    <w:rsid w:val="001533BF"/>
    <w:rsid w:val="00156B03"/>
    <w:rsid w:val="00177AA4"/>
    <w:rsid w:val="001811A5"/>
    <w:rsid w:val="001A06A2"/>
    <w:rsid w:val="001B2B3A"/>
    <w:rsid w:val="001B3F6A"/>
    <w:rsid w:val="001B45D1"/>
    <w:rsid w:val="001B4D89"/>
    <w:rsid w:val="001D4C12"/>
    <w:rsid w:val="001E33C3"/>
    <w:rsid w:val="001F09C5"/>
    <w:rsid w:val="001F265A"/>
    <w:rsid w:val="001F3B84"/>
    <w:rsid w:val="001F638E"/>
    <w:rsid w:val="0021360B"/>
    <w:rsid w:val="00220755"/>
    <w:rsid w:val="00222598"/>
    <w:rsid w:val="00223E87"/>
    <w:rsid w:val="00224099"/>
    <w:rsid w:val="00224E71"/>
    <w:rsid w:val="00227C7E"/>
    <w:rsid w:val="002312F3"/>
    <w:rsid w:val="0023285D"/>
    <w:rsid w:val="00240B2D"/>
    <w:rsid w:val="002430F6"/>
    <w:rsid w:val="00254FE3"/>
    <w:rsid w:val="00257019"/>
    <w:rsid w:val="00267D7B"/>
    <w:rsid w:val="00270F77"/>
    <w:rsid w:val="002740FC"/>
    <w:rsid w:val="00277E35"/>
    <w:rsid w:val="002808B3"/>
    <w:rsid w:val="00281D35"/>
    <w:rsid w:val="00286750"/>
    <w:rsid w:val="00286D7B"/>
    <w:rsid w:val="00290EE2"/>
    <w:rsid w:val="00292414"/>
    <w:rsid w:val="00297D28"/>
    <w:rsid w:val="002B5E2E"/>
    <w:rsid w:val="002B6B80"/>
    <w:rsid w:val="002C5EA8"/>
    <w:rsid w:val="002C746D"/>
    <w:rsid w:val="002D0BEC"/>
    <w:rsid w:val="002D35A9"/>
    <w:rsid w:val="002E2731"/>
    <w:rsid w:val="002E312A"/>
    <w:rsid w:val="002F0B0F"/>
    <w:rsid w:val="002F5333"/>
    <w:rsid w:val="003004B9"/>
    <w:rsid w:val="0030135E"/>
    <w:rsid w:val="003135E9"/>
    <w:rsid w:val="00315D91"/>
    <w:rsid w:val="00320C2C"/>
    <w:rsid w:val="00323068"/>
    <w:rsid w:val="00325C03"/>
    <w:rsid w:val="00332080"/>
    <w:rsid w:val="003337DC"/>
    <w:rsid w:val="0033388A"/>
    <w:rsid w:val="00341012"/>
    <w:rsid w:val="00341B38"/>
    <w:rsid w:val="00345F79"/>
    <w:rsid w:val="00346284"/>
    <w:rsid w:val="00347CC7"/>
    <w:rsid w:val="00350541"/>
    <w:rsid w:val="00350C0E"/>
    <w:rsid w:val="00364D79"/>
    <w:rsid w:val="003664E8"/>
    <w:rsid w:val="003801E4"/>
    <w:rsid w:val="00380214"/>
    <w:rsid w:val="00382472"/>
    <w:rsid w:val="003929A3"/>
    <w:rsid w:val="003B1642"/>
    <w:rsid w:val="003B4BAA"/>
    <w:rsid w:val="003B7ADA"/>
    <w:rsid w:val="003C18C8"/>
    <w:rsid w:val="003C6AD2"/>
    <w:rsid w:val="003E2A4C"/>
    <w:rsid w:val="003E47F1"/>
    <w:rsid w:val="003E493D"/>
    <w:rsid w:val="003E4FD2"/>
    <w:rsid w:val="003E6BE8"/>
    <w:rsid w:val="003F2B2F"/>
    <w:rsid w:val="003F561D"/>
    <w:rsid w:val="003F7583"/>
    <w:rsid w:val="00401616"/>
    <w:rsid w:val="004019B0"/>
    <w:rsid w:val="00404BCB"/>
    <w:rsid w:val="0040582E"/>
    <w:rsid w:val="004118D3"/>
    <w:rsid w:val="004119BE"/>
    <w:rsid w:val="00416788"/>
    <w:rsid w:val="004315F0"/>
    <w:rsid w:val="00432A38"/>
    <w:rsid w:val="0043533C"/>
    <w:rsid w:val="00435398"/>
    <w:rsid w:val="0043700F"/>
    <w:rsid w:val="00441220"/>
    <w:rsid w:val="0045064A"/>
    <w:rsid w:val="00453CEA"/>
    <w:rsid w:val="00454A51"/>
    <w:rsid w:val="00463382"/>
    <w:rsid w:val="00464B61"/>
    <w:rsid w:val="00466A7C"/>
    <w:rsid w:val="004737D4"/>
    <w:rsid w:val="00476A80"/>
    <w:rsid w:val="0048252E"/>
    <w:rsid w:val="004837C3"/>
    <w:rsid w:val="0048417F"/>
    <w:rsid w:val="004848C2"/>
    <w:rsid w:val="00494181"/>
    <w:rsid w:val="00494417"/>
    <w:rsid w:val="004A06BB"/>
    <w:rsid w:val="004A5139"/>
    <w:rsid w:val="004A5161"/>
    <w:rsid w:val="004B17C6"/>
    <w:rsid w:val="004B1FCD"/>
    <w:rsid w:val="004B6A85"/>
    <w:rsid w:val="004C069C"/>
    <w:rsid w:val="004C23EA"/>
    <w:rsid w:val="004E0DCE"/>
    <w:rsid w:val="004E1C3E"/>
    <w:rsid w:val="004E603E"/>
    <w:rsid w:val="004F5BA6"/>
    <w:rsid w:val="004F66CC"/>
    <w:rsid w:val="00502D37"/>
    <w:rsid w:val="00512190"/>
    <w:rsid w:val="0052187A"/>
    <w:rsid w:val="00534E1D"/>
    <w:rsid w:val="00550CFF"/>
    <w:rsid w:val="005541BA"/>
    <w:rsid w:val="00557207"/>
    <w:rsid w:val="00585BFB"/>
    <w:rsid w:val="005A3640"/>
    <w:rsid w:val="005A69EF"/>
    <w:rsid w:val="005B0278"/>
    <w:rsid w:val="005B4F69"/>
    <w:rsid w:val="005B5E0F"/>
    <w:rsid w:val="005C12FC"/>
    <w:rsid w:val="005C33B9"/>
    <w:rsid w:val="005D0660"/>
    <w:rsid w:val="005D0E50"/>
    <w:rsid w:val="005D3B79"/>
    <w:rsid w:val="005D4382"/>
    <w:rsid w:val="005D4F29"/>
    <w:rsid w:val="005E4997"/>
    <w:rsid w:val="005E6526"/>
    <w:rsid w:val="005F5C56"/>
    <w:rsid w:val="00600DF7"/>
    <w:rsid w:val="006014D2"/>
    <w:rsid w:val="00601656"/>
    <w:rsid w:val="006048D3"/>
    <w:rsid w:val="006066D5"/>
    <w:rsid w:val="00606C74"/>
    <w:rsid w:val="006074D9"/>
    <w:rsid w:val="00611167"/>
    <w:rsid w:val="006123AE"/>
    <w:rsid w:val="00616EFD"/>
    <w:rsid w:val="00627D7A"/>
    <w:rsid w:val="006437DA"/>
    <w:rsid w:val="00646B23"/>
    <w:rsid w:val="0065635B"/>
    <w:rsid w:val="0066143F"/>
    <w:rsid w:val="00670A20"/>
    <w:rsid w:val="00696C1B"/>
    <w:rsid w:val="006A4573"/>
    <w:rsid w:val="006A66A9"/>
    <w:rsid w:val="006B179C"/>
    <w:rsid w:val="006B18D9"/>
    <w:rsid w:val="006B1B97"/>
    <w:rsid w:val="006C1147"/>
    <w:rsid w:val="006C1B0E"/>
    <w:rsid w:val="006C1B40"/>
    <w:rsid w:val="006C57E6"/>
    <w:rsid w:val="006D1816"/>
    <w:rsid w:val="006D52DB"/>
    <w:rsid w:val="006D59E1"/>
    <w:rsid w:val="006D6BBD"/>
    <w:rsid w:val="006E0DE2"/>
    <w:rsid w:val="006E192D"/>
    <w:rsid w:val="006E4526"/>
    <w:rsid w:val="006E59A0"/>
    <w:rsid w:val="006E7020"/>
    <w:rsid w:val="006F139D"/>
    <w:rsid w:val="006F30D0"/>
    <w:rsid w:val="006F3316"/>
    <w:rsid w:val="00701609"/>
    <w:rsid w:val="00707E13"/>
    <w:rsid w:val="00711C8B"/>
    <w:rsid w:val="00722A14"/>
    <w:rsid w:val="00725C68"/>
    <w:rsid w:val="00733853"/>
    <w:rsid w:val="00736BA5"/>
    <w:rsid w:val="00736C4F"/>
    <w:rsid w:val="00740D89"/>
    <w:rsid w:val="00741BB2"/>
    <w:rsid w:val="00744423"/>
    <w:rsid w:val="007534B8"/>
    <w:rsid w:val="007566C8"/>
    <w:rsid w:val="007719E9"/>
    <w:rsid w:val="00772C18"/>
    <w:rsid w:val="007735E9"/>
    <w:rsid w:val="00781B61"/>
    <w:rsid w:val="00790968"/>
    <w:rsid w:val="00791179"/>
    <w:rsid w:val="00796386"/>
    <w:rsid w:val="007A11CF"/>
    <w:rsid w:val="007A570D"/>
    <w:rsid w:val="007A6DF2"/>
    <w:rsid w:val="007B0BAA"/>
    <w:rsid w:val="007B6D53"/>
    <w:rsid w:val="007B7F94"/>
    <w:rsid w:val="007C3102"/>
    <w:rsid w:val="007C4A25"/>
    <w:rsid w:val="007C7D0A"/>
    <w:rsid w:val="007D13F3"/>
    <w:rsid w:val="007D58F1"/>
    <w:rsid w:val="007E190C"/>
    <w:rsid w:val="007E4929"/>
    <w:rsid w:val="007E5449"/>
    <w:rsid w:val="00802E9B"/>
    <w:rsid w:val="00807BB1"/>
    <w:rsid w:val="00812907"/>
    <w:rsid w:val="0081517E"/>
    <w:rsid w:val="00817CA8"/>
    <w:rsid w:val="00821B16"/>
    <w:rsid w:val="00823ED8"/>
    <w:rsid w:val="008278F7"/>
    <w:rsid w:val="00834B8B"/>
    <w:rsid w:val="00835E8F"/>
    <w:rsid w:val="00840BDB"/>
    <w:rsid w:val="00842EF2"/>
    <w:rsid w:val="008434BB"/>
    <w:rsid w:val="0085161B"/>
    <w:rsid w:val="00857601"/>
    <w:rsid w:val="00877116"/>
    <w:rsid w:val="00884366"/>
    <w:rsid w:val="00884E76"/>
    <w:rsid w:val="0088564A"/>
    <w:rsid w:val="008956A3"/>
    <w:rsid w:val="008A21B1"/>
    <w:rsid w:val="008A2ADF"/>
    <w:rsid w:val="008B0E29"/>
    <w:rsid w:val="008B2BD3"/>
    <w:rsid w:val="008B5631"/>
    <w:rsid w:val="008D1A12"/>
    <w:rsid w:val="008D3D53"/>
    <w:rsid w:val="008D715D"/>
    <w:rsid w:val="008F2D65"/>
    <w:rsid w:val="008F388E"/>
    <w:rsid w:val="008F73F6"/>
    <w:rsid w:val="00906B55"/>
    <w:rsid w:val="009070EC"/>
    <w:rsid w:val="00907A67"/>
    <w:rsid w:val="00915F3E"/>
    <w:rsid w:val="0091662D"/>
    <w:rsid w:val="00926CC8"/>
    <w:rsid w:val="009305FF"/>
    <w:rsid w:val="00944555"/>
    <w:rsid w:val="00945204"/>
    <w:rsid w:val="00946048"/>
    <w:rsid w:val="0094649F"/>
    <w:rsid w:val="00961A96"/>
    <w:rsid w:val="0096303B"/>
    <w:rsid w:val="00972B52"/>
    <w:rsid w:val="00974872"/>
    <w:rsid w:val="00981675"/>
    <w:rsid w:val="009837A9"/>
    <w:rsid w:val="009B119C"/>
    <w:rsid w:val="009B1D59"/>
    <w:rsid w:val="009D2D75"/>
    <w:rsid w:val="009E1E97"/>
    <w:rsid w:val="009E286A"/>
    <w:rsid w:val="009E4D7D"/>
    <w:rsid w:val="009E4EB5"/>
    <w:rsid w:val="009E665F"/>
    <w:rsid w:val="009F0FEA"/>
    <w:rsid w:val="009F78FB"/>
    <w:rsid w:val="00A1117C"/>
    <w:rsid w:val="00A1328E"/>
    <w:rsid w:val="00A213C7"/>
    <w:rsid w:val="00A3308F"/>
    <w:rsid w:val="00A428ED"/>
    <w:rsid w:val="00A4767C"/>
    <w:rsid w:val="00A505B9"/>
    <w:rsid w:val="00A711AD"/>
    <w:rsid w:val="00A806E2"/>
    <w:rsid w:val="00A82594"/>
    <w:rsid w:val="00A8657E"/>
    <w:rsid w:val="00A87EA4"/>
    <w:rsid w:val="00A97EFA"/>
    <w:rsid w:val="00AA258A"/>
    <w:rsid w:val="00AA2993"/>
    <w:rsid w:val="00AA7FD3"/>
    <w:rsid w:val="00AB1050"/>
    <w:rsid w:val="00AC0DEB"/>
    <w:rsid w:val="00AD4CE3"/>
    <w:rsid w:val="00AE19EC"/>
    <w:rsid w:val="00AE1E93"/>
    <w:rsid w:val="00AF13D1"/>
    <w:rsid w:val="00AF393D"/>
    <w:rsid w:val="00B03F0C"/>
    <w:rsid w:val="00B10755"/>
    <w:rsid w:val="00B17970"/>
    <w:rsid w:val="00B27DA7"/>
    <w:rsid w:val="00B34D7F"/>
    <w:rsid w:val="00B369ED"/>
    <w:rsid w:val="00B423AF"/>
    <w:rsid w:val="00B42565"/>
    <w:rsid w:val="00B43473"/>
    <w:rsid w:val="00B45844"/>
    <w:rsid w:val="00B5040B"/>
    <w:rsid w:val="00B506AF"/>
    <w:rsid w:val="00B60E3B"/>
    <w:rsid w:val="00B77AA5"/>
    <w:rsid w:val="00B943AA"/>
    <w:rsid w:val="00BB7127"/>
    <w:rsid w:val="00BC51D0"/>
    <w:rsid w:val="00BE04E8"/>
    <w:rsid w:val="00BE4448"/>
    <w:rsid w:val="00BF565A"/>
    <w:rsid w:val="00BF61CB"/>
    <w:rsid w:val="00BF7C63"/>
    <w:rsid w:val="00C04140"/>
    <w:rsid w:val="00C11720"/>
    <w:rsid w:val="00C11A45"/>
    <w:rsid w:val="00C16605"/>
    <w:rsid w:val="00C23530"/>
    <w:rsid w:val="00C26392"/>
    <w:rsid w:val="00C34333"/>
    <w:rsid w:val="00C36B81"/>
    <w:rsid w:val="00C3733D"/>
    <w:rsid w:val="00C438FA"/>
    <w:rsid w:val="00C44682"/>
    <w:rsid w:val="00C5197C"/>
    <w:rsid w:val="00C51C9C"/>
    <w:rsid w:val="00C53973"/>
    <w:rsid w:val="00C632BC"/>
    <w:rsid w:val="00C640EF"/>
    <w:rsid w:val="00C8194B"/>
    <w:rsid w:val="00C8715E"/>
    <w:rsid w:val="00C87766"/>
    <w:rsid w:val="00C92C42"/>
    <w:rsid w:val="00CA007B"/>
    <w:rsid w:val="00CA0737"/>
    <w:rsid w:val="00CA1962"/>
    <w:rsid w:val="00CA3921"/>
    <w:rsid w:val="00CB1A42"/>
    <w:rsid w:val="00CB301F"/>
    <w:rsid w:val="00CB7E27"/>
    <w:rsid w:val="00CC1FE4"/>
    <w:rsid w:val="00CC2970"/>
    <w:rsid w:val="00CC3762"/>
    <w:rsid w:val="00CC6E82"/>
    <w:rsid w:val="00CD5D50"/>
    <w:rsid w:val="00CE3C86"/>
    <w:rsid w:val="00CE4D79"/>
    <w:rsid w:val="00CF0766"/>
    <w:rsid w:val="00CF24C6"/>
    <w:rsid w:val="00CF3DA7"/>
    <w:rsid w:val="00CF5760"/>
    <w:rsid w:val="00D03734"/>
    <w:rsid w:val="00D0451E"/>
    <w:rsid w:val="00D0640A"/>
    <w:rsid w:val="00D1019F"/>
    <w:rsid w:val="00D1227C"/>
    <w:rsid w:val="00D2348C"/>
    <w:rsid w:val="00D31A81"/>
    <w:rsid w:val="00D33E0B"/>
    <w:rsid w:val="00D34217"/>
    <w:rsid w:val="00D43FD5"/>
    <w:rsid w:val="00D4618A"/>
    <w:rsid w:val="00D47C70"/>
    <w:rsid w:val="00D556C8"/>
    <w:rsid w:val="00D71C86"/>
    <w:rsid w:val="00D80215"/>
    <w:rsid w:val="00D85502"/>
    <w:rsid w:val="00D87D94"/>
    <w:rsid w:val="00D914D5"/>
    <w:rsid w:val="00D95D3B"/>
    <w:rsid w:val="00DA02E4"/>
    <w:rsid w:val="00DA0975"/>
    <w:rsid w:val="00DA15A9"/>
    <w:rsid w:val="00DA444E"/>
    <w:rsid w:val="00DA6F26"/>
    <w:rsid w:val="00DA7088"/>
    <w:rsid w:val="00DA7EE4"/>
    <w:rsid w:val="00DB5F9B"/>
    <w:rsid w:val="00DC3E43"/>
    <w:rsid w:val="00DC75E5"/>
    <w:rsid w:val="00DD0CC0"/>
    <w:rsid w:val="00DD50A0"/>
    <w:rsid w:val="00DE04BC"/>
    <w:rsid w:val="00DF6A2F"/>
    <w:rsid w:val="00E06881"/>
    <w:rsid w:val="00E1085B"/>
    <w:rsid w:val="00E14298"/>
    <w:rsid w:val="00E1745D"/>
    <w:rsid w:val="00E2271B"/>
    <w:rsid w:val="00E24272"/>
    <w:rsid w:val="00E275D2"/>
    <w:rsid w:val="00E33559"/>
    <w:rsid w:val="00E34782"/>
    <w:rsid w:val="00E3571F"/>
    <w:rsid w:val="00E35F07"/>
    <w:rsid w:val="00E40A8E"/>
    <w:rsid w:val="00E41273"/>
    <w:rsid w:val="00E42E6E"/>
    <w:rsid w:val="00E451D2"/>
    <w:rsid w:val="00E50EC7"/>
    <w:rsid w:val="00E55407"/>
    <w:rsid w:val="00E6194E"/>
    <w:rsid w:val="00E61C96"/>
    <w:rsid w:val="00E7363C"/>
    <w:rsid w:val="00E818B6"/>
    <w:rsid w:val="00E83611"/>
    <w:rsid w:val="00E8418E"/>
    <w:rsid w:val="00E8495C"/>
    <w:rsid w:val="00E94DBC"/>
    <w:rsid w:val="00EA1965"/>
    <w:rsid w:val="00EB1B3D"/>
    <w:rsid w:val="00EB670F"/>
    <w:rsid w:val="00EB774E"/>
    <w:rsid w:val="00EC018E"/>
    <w:rsid w:val="00EC49A8"/>
    <w:rsid w:val="00EC5754"/>
    <w:rsid w:val="00EF01B4"/>
    <w:rsid w:val="00EF20D5"/>
    <w:rsid w:val="00EF3935"/>
    <w:rsid w:val="00EF6065"/>
    <w:rsid w:val="00EF7CB0"/>
    <w:rsid w:val="00F02DD7"/>
    <w:rsid w:val="00F02E48"/>
    <w:rsid w:val="00F06AC4"/>
    <w:rsid w:val="00F1114A"/>
    <w:rsid w:val="00F1587C"/>
    <w:rsid w:val="00F163B2"/>
    <w:rsid w:val="00F27203"/>
    <w:rsid w:val="00F27587"/>
    <w:rsid w:val="00F35520"/>
    <w:rsid w:val="00F4160C"/>
    <w:rsid w:val="00F472D1"/>
    <w:rsid w:val="00F5414D"/>
    <w:rsid w:val="00F55EF7"/>
    <w:rsid w:val="00F57D1C"/>
    <w:rsid w:val="00F60409"/>
    <w:rsid w:val="00F60F28"/>
    <w:rsid w:val="00F63AAE"/>
    <w:rsid w:val="00F70219"/>
    <w:rsid w:val="00F8277E"/>
    <w:rsid w:val="00F8444A"/>
    <w:rsid w:val="00F93481"/>
    <w:rsid w:val="00F95C92"/>
    <w:rsid w:val="00F971B5"/>
    <w:rsid w:val="00FA161A"/>
    <w:rsid w:val="00FA3019"/>
    <w:rsid w:val="00FB28F6"/>
    <w:rsid w:val="00FB31B0"/>
    <w:rsid w:val="00FB44BB"/>
    <w:rsid w:val="00FC432C"/>
    <w:rsid w:val="00FD4948"/>
    <w:rsid w:val="00FD5FEE"/>
    <w:rsid w:val="00FD618B"/>
    <w:rsid w:val="00FE0396"/>
    <w:rsid w:val="00FE5065"/>
    <w:rsid w:val="00FE6C5B"/>
    <w:rsid w:val="00FF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722350"/>
  <w15:docId w15:val="{A85AE2C3-7B7E-4FA8-9247-4F86E9CA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3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F11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1114A"/>
    <w:rPr>
      <w:rFonts w:cs="Times New Roman"/>
      <w:sz w:val="18"/>
      <w:szCs w:val="18"/>
    </w:rPr>
  </w:style>
  <w:style w:type="paragraph" w:styleId="a4">
    <w:name w:val="footer"/>
    <w:basedOn w:val="a"/>
    <w:link w:val="Char0"/>
    <w:uiPriority w:val="99"/>
    <w:rsid w:val="00F1114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1114A"/>
    <w:rPr>
      <w:rFonts w:cs="Times New Roman"/>
      <w:sz w:val="18"/>
      <w:szCs w:val="18"/>
    </w:rPr>
  </w:style>
  <w:style w:type="paragraph" w:styleId="a5">
    <w:name w:val="No Spacing"/>
    <w:uiPriority w:val="99"/>
    <w:qFormat/>
    <w:rsid w:val="005541BA"/>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1"/>
      <w:sz w:val="21"/>
      <w:szCs w:val="22"/>
    </w:rPr>
  </w:style>
  <w:style w:type="paragraph" w:customStyle="1" w:styleId="p0">
    <w:name w:val="p0"/>
    <w:basedOn w:val="a"/>
    <w:rsid w:val="00550CFF"/>
    <w:pPr>
      <w:widowControl/>
    </w:pPr>
    <w:rPr>
      <w:rFonts w:ascii="Times New Roman" w:hAnsi="Times New Roman"/>
      <w:kern w:val="0"/>
      <w:szCs w:val="21"/>
    </w:rPr>
  </w:style>
  <w:style w:type="character" w:customStyle="1" w:styleId="Char1">
    <w:name w:val="纯文本 Char"/>
    <w:link w:val="a6"/>
    <w:uiPriority w:val="99"/>
    <w:locked/>
    <w:rsid w:val="00790968"/>
    <w:rPr>
      <w:rFonts w:ascii="宋体" w:hAnsi="Courier New" w:cs="Courier New"/>
      <w:kern w:val="2"/>
      <w:sz w:val="21"/>
      <w:szCs w:val="21"/>
    </w:rPr>
  </w:style>
  <w:style w:type="paragraph" w:styleId="a6">
    <w:name w:val="Plain Text"/>
    <w:basedOn w:val="a"/>
    <w:link w:val="Char1"/>
    <w:uiPriority w:val="99"/>
    <w:rsid w:val="00790968"/>
    <w:rPr>
      <w:rFonts w:ascii="宋体" w:hAnsi="Courier New" w:cs="Courier New"/>
      <w:szCs w:val="21"/>
    </w:rPr>
  </w:style>
  <w:style w:type="character" w:customStyle="1" w:styleId="Char10">
    <w:name w:val="纯文本 Char1"/>
    <w:basedOn w:val="a0"/>
    <w:uiPriority w:val="99"/>
    <w:semiHidden/>
    <w:rsid w:val="00790968"/>
    <w:rPr>
      <w:rFonts w:ascii="宋体" w:hAnsi="Courier New" w:cs="Courier New"/>
      <w:kern w:val="2"/>
      <w:sz w:val="21"/>
      <w:szCs w:val="21"/>
    </w:rPr>
  </w:style>
  <w:style w:type="paragraph" w:styleId="a7">
    <w:name w:val="List Paragraph"/>
    <w:basedOn w:val="a"/>
    <w:uiPriority w:val="34"/>
    <w:qFormat/>
    <w:rsid w:val="001E33C3"/>
    <w:pPr>
      <w:ind w:firstLineChars="200" w:firstLine="420"/>
    </w:pPr>
  </w:style>
  <w:style w:type="character" w:styleId="a8">
    <w:name w:val="annotation reference"/>
    <w:rsid w:val="007D13F3"/>
    <w:rPr>
      <w:sz w:val="21"/>
      <w:szCs w:val="21"/>
    </w:rPr>
  </w:style>
  <w:style w:type="paragraph" w:styleId="a9">
    <w:name w:val="Balloon Text"/>
    <w:basedOn w:val="a"/>
    <w:link w:val="Char2"/>
    <w:uiPriority w:val="99"/>
    <w:semiHidden/>
    <w:unhideWhenUsed/>
    <w:rsid w:val="00223E87"/>
    <w:rPr>
      <w:sz w:val="18"/>
      <w:szCs w:val="18"/>
    </w:rPr>
  </w:style>
  <w:style w:type="character" w:customStyle="1" w:styleId="Char2">
    <w:name w:val="批注框文本 Char"/>
    <w:basedOn w:val="a0"/>
    <w:link w:val="a9"/>
    <w:uiPriority w:val="99"/>
    <w:semiHidden/>
    <w:rsid w:val="00223E87"/>
    <w:rPr>
      <w:kern w:val="2"/>
      <w:sz w:val="18"/>
      <w:szCs w:val="18"/>
    </w:rPr>
  </w:style>
  <w:style w:type="paragraph" w:customStyle="1" w:styleId="1">
    <w:name w:val="列出段落1"/>
    <w:basedOn w:val="a"/>
    <w:rsid w:val="00FF4135"/>
    <w:pPr>
      <w:ind w:firstLineChars="200" w:firstLine="420"/>
    </w:pPr>
    <w:rPr>
      <w:rFonts w:ascii="Times New Roman" w:hAnsi="Times New Roman"/>
      <w:szCs w:val="20"/>
    </w:rPr>
  </w:style>
  <w:style w:type="character" w:customStyle="1" w:styleId="zx-detail-expand-text">
    <w:name w:val="zx-detail-expand-text"/>
    <w:basedOn w:val="a0"/>
    <w:rsid w:val="00CD5D50"/>
  </w:style>
  <w:style w:type="paragraph" w:styleId="aa">
    <w:name w:val="annotation text"/>
    <w:basedOn w:val="a"/>
    <w:link w:val="Char3"/>
    <w:uiPriority w:val="99"/>
    <w:semiHidden/>
    <w:unhideWhenUsed/>
    <w:rsid w:val="00325C03"/>
    <w:pPr>
      <w:jc w:val="left"/>
    </w:pPr>
  </w:style>
  <w:style w:type="character" w:customStyle="1" w:styleId="Char3">
    <w:name w:val="批注文字 Char"/>
    <w:basedOn w:val="a0"/>
    <w:link w:val="aa"/>
    <w:uiPriority w:val="99"/>
    <w:semiHidden/>
    <w:rsid w:val="00325C03"/>
    <w:rPr>
      <w:kern w:val="2"/>
      <w:sz w:val="21"/>
      <w:szCs w:val="22"/>
    </w:rPr>
  </w:style>
  <w:style w:type="paragraph" w:styleId="ab">
    <w:name w:val="annotation subject"/>
    <w:basedOn w:val="aa"/>
    <w:next w:val="aa"/>
    <w:link w:val="Char4"/>
    <w:uiPriority w:val="99"/>
    <w:semiHidden/>
    <w:unhideWhenUsed/>
    <w:rsid w:val="00325C03"/>
    <w:rPr>
      <w:b/>
      <w:bCs/>
    </w:rPr>
  </w:style>
  <w:style w:type="character" w:customStyle="1" w:styleId="Char4">
    <w:name w:val="批注主题 Char"/>
    <w:basedOn w:val="Char3"/>
    <w:link w:val="ab"/>
    <w:uiPriority w:val="99"/>
    <w:semiHidden/>
    <w:rsid w:val="00325C03"/>
    <w:rPr>
      <w:b/>
      <w:bCs/>
      <w:kern w:val="2"/>
      <w:sz w:val="21"/>
      <w:szCs w:val="22"/>
    </w:rPr>
  </w:style>
  <w:style w:type="paragraph" w:styleId="ac">
    <w:name w:val="Revision"/>
    <w:hidden/>
    <w:uiPriority w:val="99"/>
    <w:semiHidden/>
    <w:rsid w:val="00736C4F"/>
    <w:rPr>
      <w:kern w:val="2"/>
      <w:sz w:val="21"/>
      <w:szCs w:val="22"/>
    </w:rPr>
  </w:style>
  <w:style w:type="table" w:styleId="ad">
    <w:name w:val="Table Grid"/>
    <w:basedOn w:val="a1"/>
    <w:uiPriority w:val="59"/>
    <w:qFormat/>
    <w:locked/>
    <w:rsid w:val="00DC75E5"/>
    <w:pPr>
      <w:spacing w:before="120" w:after="120" w:line="240" w:lineRule="atLeast"/>
    </w:pPr>
    <w:rPr>
      <w:rFonts w:ascii="Arial" w:hAnsi="Arial"/>
    </w:rPr>
    <w:tblPr>
      <w:tblInd w:w="0" w:type="dxa"/>
      <w:tblCellMar>
        <w:top w:w="0" w:type="dxa"/>
        <w:left w:w="108" w:type="dxa"/>
        <w:bottom w:w="0" w:type="dxa"/>
        <w:right w:w="108" w:type="dxa"/>
      </w:tblCellMar>
    </w:tblPr>
  </w:style>
  <w:style w:type="table" w:customStyle="1" w:styleId="10">
    <w:name w:val="网格型1"/>
    <w:basedOn w:val="a1"/>
    <w:next w:val="ad"/>
    <w:uiPriority w:val="59"/>
    <w:qFormat/>
    <w:rsid w:val="003135E9"/>
    <w:pPr>
      <w:spacing w:before="120" w:after="120" w:line="240" w:lineRule="atLeast"/>
    </w:pPr>
    <w:rPr>
      <w:rFonts w:ascii="Arial" w:hAnsi="Arial"/>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B0B9-F0E1-45C9-9E6D-76F9C725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358</Words>
  <Characters>2044</Characters>
  <Application>Microsoft Office Word</Application>
  <DocSecurity>0</DocSecurity>
  <Lines>17</Lines>
  <Paragraphs>4</Paragraphs>
  <ScaleCrop>false</ScaleCrop>
  <Company>China</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 Q</cp:lastModifiedBy>
  <cp:revision>18</cp:revision>
  <cp:lastPrinted>2018-07-09T09:21:00Z</cp:lastPrinted>
  <dcterms:created xsi:type="dcterms:W3CDTF">2018-12-20T11:07:00Z</dcterms:created>
  <dcterms:modified xsi:type="dcterms:W3CDTF">2019-12-02T03:33:00Z</dcterms:modified>
</cp:coreProperties>
</file>