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56" w:rsidRPr="004A6CDC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997333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997333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760BAA">
        <w:rPr>
          <w:rFonts w:asciiTheme="minorEastAsia" w:eastAsiaTheme="minorEastAsia" w:hAnsiTheme="minorEastAsia"/>
          <w:sz w:val="24"/>
          <w:szCs w:val="24"/>
        </w:rPr>
        <w:t>9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760BAA">
        <w:rPr>
          <w:rFonts w:asciiTheme="minorEastAsia" w:eastAsiaTheme="minorEastAsia" w:hAnsiTheme="minorEastAsia"/>
          <w:sz w:val="24"/>
          <w:szCs w:val="24"/>
        </w:rPr>
        <w:t>0</w:t>
      </w:r>
      <w:r w:rsidR="00241184">
        <w:rPr>
          <w:rFonts w:asciiTheme="minorEastAsia" w:eastAsiaTheme="minorEastAsia" w:hAnsiTheme="minorEastAsia"/>
          <w:sz w:val="24"/>
          <w:szCs w:val="24"/>
        </w:rPr>
        <w:t>84</w:t>
      </w:r>
    </w:p>
    <w:p w:rsidR="00AC7A56" w:rsidRPr="00241184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42073A" w:rsidRPr="007570DA" w:rsidRDefault="00F60F28" w:rsidP="005A41DC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:rsidR="000A591B" w:rsidRPr="007570DA" w:rsidRDefault="004A6536" w:rsidP="005A41DC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  <w:r w:rsidR="00104CD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:rsidR="0090772C" w:rsidRDefault="0090772C" w:rsidP="00C608BD">
      <w:pPr>
        <w:pStyle w:val="aa"/>
        <w:pBdr>
          <w:bottom w:val="none" w:sz="0" w:space="1" w:color="000000"/>
        </w:pBd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45F3E" w:rsidRDefault="00CC222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 xml:space="preserve"> 28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日以集中竞价交易方式实施了首次股份回购，具体内容详见公司于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年11月29日披露于上海证券交易所网站的《关于以集中竞价交易方式首次回购股份的公告》（公告编号：2018-099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）。公司分别于2019年3月21日及2019年4月8日召开第三届董事会第十三次（临时）会议及2019年第一次临时股东大会，审议并通过《关于调整回购股份预案部分事项的议案》。本次调整回购事项的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具体内容详见公司于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10日披露于上海证券交易所网站的《关于以集中竞价交易方式回购股份的回购报告书（修订版）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2019-043）。</w:t>
      </w:r>
    </w:p>
    <w:p w:rsidR="00652E47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E47">
        <w:rPr>
          <w:rFonts w:asciiTheme="minorEastAsia" w:eastAsiaTheme="minorEastAsia" w:hAnsiTheme="minorEastAsia" w:hint="eastAsia"/>
          <w:sz w:val="24"/>
          <w:szCs w:val="24"/>
        </w:rPr>
        <w:t>现根据相关规定，公司应当在</w:t>
      </w:r>
      <w:r w:rsidR="00EC2DC6" w:rsidRPr="00EC2DC6">
        <w:rPr>
          <w:rFonts w:asciiTheme="minorEastAsia" w:eastAsiaTheme="minorEastAsia" w:hAnsiTheme="minorEastAsia" w:hint="eastAsia"/>
          <w:sz w:val="24"/>
          <w:szCs w:val="24"/>
        </w:rPr>
        <w:t>回购股份占上市公司总股本的比例每增加百分之一的事实发生之日</w:t>
      </w:r>
      <w:r w:rsidR="00081F4D" w:rsidRPr="00081F4D">
        <w:rPr>
          <w:rFonts w:asciiTheme="minorEastAsia" w:eastAsiaTheme="minorEastAsia" w:hAnsiTheme="minorEastAsia" w:hint="eastAsia"/>
          <w:sz w:val="24"/>
          <w:szCs w:val="24"/>
        </w:rPr>
        <w:t>起3日内</w:t>
      </w:r>
      <w:r w:rsidR="00EC2DC6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每个月的前三个交易日内</w:t>
      </w:r>
      <w:r w:rsidR="00797ACF" w:rsidRPr="00797ACF">
        <w:rPr>
          <w:rFonts w:asciiTheme="minorEastAsia" w:eastAsiaTheme="minorEastAsia" w:hAnsiTheme="minorEastAsia" w:hint="eastAsia"/>
          <w:sz w:val="24"/>
          <w:szCs w:val="24"/>
        </w:rPr>
        <w:t>披露截止上月末的回购进展情况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，现</w:t>
      </w:r>
      <w:r w:rsidR="00797ACF">
        <w:rPr>
          <w:rFonts w:asciiTheme="minorEastAsia" w:eastAsiaTheme="minorEastAsia" w:hAnsiTheme="minorEastAsia"/>
          <w:sz w:val="24"/>
          <w:szCs w:val="24"/>
        </w:rPr>
        <w:t>将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具体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情况公告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:rsidR="00956B7F" w:rsidRPr="00B01865" w:rsidRDefault="001306C4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01865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="00241184" w:rsidRPr="00B01865">
        <w:rPr>
          <w:rFonts w:asciiTheme="minorEastAsia" w:eastAsiaTheme="minorEastAsia" w:hAnsiTheme="minorEastAsia"/>
          <w:sz w:val="24"/>
          <w:szCs w:val="24"/>
        </w:rPr>
        <w:t>7</w:t>
      </w:r>
      <w:r w:rsidRPr="00B0186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B01865">
        <w:rPr>
          <w:rFonts w:asciiTheme="minorEastAsia" w:eastAsiaTheme="minorEastAsia" w:hAnsiTheme="minorEastAsia"/>
          <w:sz w:val="24"/>
          <w:szCs w:val="24"/>
        </w:rPr>
        <w:t>，</w:t>
      </w:r>
      <w:r w:rsidRPr="00B01865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241184" w:rsidRPr="00B01865">
        <w:rPr>
          <w:rFonts w:asciiTheme="minorEastAsia" w:eastAsiaTheme="minorEastAsia" w:hAnsiTheme="minorEastAsia" w:hint="eastAsia"/>
          <w:sz w:val="24"/>
          <w:szCs w:val="24"/>
        </w:rPr>
        <w:t>未</w:t>
      </w:r>
      <w:r w:rsidRPr="00B01865">
        <w:rPr>
          <w:rFonts w:asciiTheme="minorEastAsia" w:eastAsiaTheme="minorEastAsia" w:hAnsiTheme="minorEastAsia" w:hint="eastAsia"/>
          <w:sz w:val="24"/>
          <w:szCs w:val="24"/>
        </w:rPr>
        <w:t>通过集中竞价交易方式回购股份。</w:t>
      </w:r>
    </w:p>
    <w:p w:rsidR="00CC2224" w:rsidRDefault="00652E47" w:rsidP="00C608BD">
      <w:pPr>
        <w:pStyle w:val="aa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306C4" w:rsidRPr="00CE6283">
        <w:rPr>
          <w:rFonts w:asciiTheme="minorEastAsia" w:eastAsiaTheme="minorEastAsia" w:hAnsiTheme="minorEastAsia"/>
          <w:sz w:val="24"/>
          <w:szCs w:val="24"/>
        </w:rPr>
        <w:t>2019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41184" w:rsidRPr="00B01865">
        <w:rPr>
          <w:rFonts w:asciiTheme="minorEastAsia" w:eastAsiaTheme="minorEastAsia" w:hAnsiTheme="minorEastAsia"/>
          <w:sz w:val="24"/>
          <w:szCs w:val="24"/>
        </w:rPr>
        <w:t>7</w:t>
      </w:r>
      <w:r w:rsidRPr="00B0186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306C4" w:rsidRPr="00B01865">
        <w:rPr>
          <w:rFonts w:asciiTheme="minorEastAsia" w:eastAsiaTheme="minorEastAsia" w:hAnsiTheme="minorEastAsia" w:hint="eastAsia"/>
          <w:sz w:val="24"/>
          <w:szCs w:val="24"/>
        </w:rPr>
        <w:t>底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，公司以集中竞价交易方式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已累计回购股份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35,537,965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lastRenderedPageBreak/>
        <w:t>股，占公司总股本的比例为</w:t>
      </w:r>
      <w:r w:rsidR="009A22CB">
        <w:rPr>
          <w:rFonts w:asciiTheme="minorEastAsia" w:eastAsiaTheme="minorEastAsia" w:hAnsiTheme="minorEastAsia"/>
          <w:sz w:val="24"/>
          <w:szCs w:val="24"/>
        </w:rPr>
        <w:t>4.01</w:t>
      </w:r>
      <w:r w:rsidR="0089312E" w:rsidRPr="00F80C1C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购买的最高价为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32.18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23.47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已支付的总金额为</w:t>
      </w:r>
      <w:r w:rsidR="009A22CB" w:rsidRPr="009A22CB">
        <w:rPr>
          <w:rFonts w:asciiTheme="minorEastAsia" w:eastAsiaTheme="minorEastAsia" w:hAnsiTheme="minorEastAsia"/>
          <w:sz w:val="24"/>
          <w:szCs w:val="24"/>
        </w:rPr>
        <w:t>933,998,879.11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C608BD">
        <w:rPr>
          <w:rFonts w:asciiTheme="minorEastAsia" w:eastAsiaTheme="minorEastAsia" w:hAnsiTheme="minorEastAsia" w:hint="eastAsia"/>
          <w:sz w:val="24"/>
          <w:szCs w:val="24"/>
        </w:rPr>
        <w:t>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佣金等交易费用）。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上述回购进展符合公司的回购股份方案。</w:t>
      </w: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52E47" w:rsidRPr="00652E47">
        <w:rPr>
          <w:rFonts w:asciiTheme="minorEastAsia" w:eastAsiaTheme="minorEastAsia" w:hAnsiTheme="minorEastAsia" w:hint="eastAsia"/>
          <w:sz w:val="24"/>
          <w:szCs w:val="24"/>
        </w:rPr>
        <w:t>上海证券交易所上市公司回购股份实施细则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:rsidR="00CC2224" w:rsidRP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E3C86" w:rsidRDefault="00AC7A56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A01677" w:rsidRDefault="00A01677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41648" w:rsidRPr="007570DA" w:rsidRDefault="00E41648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241184">
        <w:rPr>
          <w:rFonts w:asciiTheme="minorEastAsia" w:eastAsiaTheme="minorEastAsia" w:hAnsiTheme="minorEastAsia" w:cs="KAPJJC+ËÎÌå"/>
          <w:color w:val="000000"/>
          <w:sz w:val="24"/>
        </w:rPr>
        <w:t>8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5A41DC">
        <w:rPr>
          <w:rFonts w:asciiTheme="minorEastAsia" w:eastAsiaTheme="minorEastAsia" w:hAnsiTheme="minorEastAsia" w:cs="KAPJJC+ËÎÌå" w:hint="eastAsia"/>
          <w:color w:val="000000"/>
          <w:sz w:val="24"/>
        </w:rPr>
        <w:t>2</w:t>
      </w:r>
      <w:bookmarkStart w:id="0" w:name="_GoBack"/>
      <w:bookmarkEnd w:id="0"/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</w:p>
    <w:sectPr w:rsidR="006825AF" w:rsidRPr="007570DA" w:rsidSect="00C91AF5">
      <w:footerReference w:type="default" r:id="rId9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C8" w:rsidRDefault="004840C8" w:rsidP="00FC3A11">
      <w:r>
        <w:separator/>
      </w:r>
    </w:p>
  </w:endnote>
  <w:endnote w:type="continuationSeparator" w:id="0">
    <w:p w:rsidR="004840C8" w:rsidRDefault="004840C8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1728"/>
      <w:docPartObj>
        <w:docPartGallery w:val="Page Numbers (Bottom of Page)"/>
        <w:docPartUnique/>
      </w:docPartObj>
    </w:sdtPr>
    <w:sdtEndPr/>
    <w:sdtContent>
      <w:p w:rsidR="00C91AF5" w:rsidRDefault="0093199C" w:rsidP="005113C4">
        <w:pPr>
          <w:pStyle w:val="a9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5A41DC" w:rsidRPr="005A41DC">
          <w:rPr>
            <w:noProof/>
            <w:lang w:val="zh-CN"/>
          </w:rPr>
          <w:t>2</w:t>
        </w:r>
        <w:r>
          <w:fldChar w:fldCharType="end"/>
        </w:r>
      </w:p>
    </w:sdtContent>
  </w:sdt>
  <w:p w:rsidR="00C91AF5" w:rsidRDefault="00C9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C8" w:rsidRDefault="004840C8" w:rsidP="00FC3A11">
      <w:r>
        <w:separator/>
      </w:r>
    </w:p>
  </w:footnote>
  <w:footnote w:type="continuationSeparator" w:id="0">
    <w:p w:rsidR="004840C8" w:rsidRDefault="004840C8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27B74"/>
    <w:rsid w:val="000302D3"/>
    <w:rsid w:val="0003691A"/>
    <w:rsid w:val="000437B7"/>
    <w:rsid w:val="00045004"/>
    <w:rsid w:val="00045B91"/>
    <w:rsid w:val="00061E1E"/>
    <w:rsid w:val="00061F27"/>
    <w:rsid w:val="000620C6"/>
    <w:rsid w:val="000813CF"/>
    <w:rsid w:val="0008181C"/>
    <w:rsid w:val="00081F4D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2BA6"/>
    <w:rsid w:val="000D5581"/>
    <w:rsid w:val="000D6099"/>
    <w:rsid w:val="000D738C"/>
    <w:rsid w:val="000E1ABB"/>
    <w:rsid w:val="000E7C8E"/>
    <w:rsid w:val="000F1C51"/>
    <w:rsid w:val="000F3B55"/>
    <w:rsid w:val="0010021C"/>
    <w:rsid w:val="0010221D"/>
    <w:rsid w:val="00104CD6"/>
    <w:rsid w:val="00105C56"/>
    <w:rsid w:val="00106B29"/>
    <w:rsid w:val="001158E2"/>
    <w:rsid w:val="001205DD"/>
    <w:rsid w:val="001306C4"/>
    <w:rsid w:val="00131EA3"/>
    <w:rsid w:val="00135EB8"/>
    <w:rsid w:val="00154DE6"/>
    <w:rsid w:val="001564CF"/>
    <w:rsid w:val="00170889"/>
    <w:rsid w:val="001710AF"/>
    <w:rsid w:val="001717C4"/>
    <w:rsid w:val="00172A5E"/>
    <w:rsid w:val="00174A16"/>
    <w:rsid w:val="00174D81"/>
    <w:rsid w:val="00175CE7"/>
    <w:rsid w:val="00176150"/>
    <w:rsid w:val="00181A0F"/>
    <w:rsid w:val="0018597A"/>
    <w:rsid w:val="00190F35"/>
    <w:rsid w:val="00197B2C"/>
    <w:rsid w:val="001A2B96"/>
    <w:rsid w:val="001A3667"/>
    <w:rsid w:val="001A4609"/>
    <w:rsid w:val="001A7746"/>
    <w:rsid w:val="001B256E"/>
    <w:rsid w:val="001B5110"/>
    <w:rsid w:val="001C210D"/>
    <w:rsid w:val="001C5C16"/>
    <w:rsid w:val="001D0D3C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34372"/>
    <w:rsid w:val="00241184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B6A70"/>
    <w:rsid w:val="002C1323"/>
    <w:rsid w:val="002C1640"/>
    <w:rsid w:val="002C23F0"/>
    <w:rsid w:val="002C5A80"/>
    <w:rsid w:val="002D2871"/>
    <w:rsid w:val="002D47C7"/>
    <w:rsid w:val="002D48BA"/>
    <w:rsid w:val="002D509B"/>
    <w:rsid w:val="002E0C18"/>
    <w:rsid w:val="002E6057"/>
    <w:rsid w:val="002F60C5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53346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049C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40DB"/>
    <w:rsid w:val="004277A0"/>
    <w:rsid w:val="0044288A"/>
    <w:rsid w:val="00443414"/>
    <w:rsid w:val="004451A8"/>
    <w:rsid w:val="00445F3E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70A2"/>
    <w:rsid w:val="00481520"/>
    <w:rsid w:val="00481724"/>
    <w:rsid w:val="004840C8"/>
    <w:rsid w:val="004846DF"/>
    <w:rsid w:val="0048555B"/>
    <w:rsid w:val="00485FEE"/>
    <w:rsid w:val="004870B7"/>
    <w:rsid w:val="00491614"/>
    <w:rsid w:val="00492A8C"/>
    <w:rsid w:val="004A3A5C"/>
    <w:rsid w:val="004A6536"/>
    <w:rsid w:val="004A6CDC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06879"/>
    <w:rsid w:val="005113C4"/>
    <w:rsid w:val="00511D1E"/>
    <w:rsid w:val="00512092"/>
    <w:rsid w:val="00513C72"/>
    <w:rsid w:val="00514D79"/>
    <w:rsid w:val="005156FC"/>
    <w:rsid w:val="00527F7F"/>
    <w:rsid w:val="00530106"/>
    <w:rsid w:val="0053036C"/>
    <w:rsid w:val="005352E5"/>
    <w:rsid w:val="00545CF6"/>
    <w:rsid w:val="005461A4"/>
    <w:rsid w:val="00546F78"/>
    <w:rsid w:val="00553C33"/>
    <w:rsid w:val="00553D4F"/>
    <w:rsid w:val="00560BCF"/>
    <w:rsid w:val="00562CA6"/>
    <w:rsid w:val="00570FEA"/>
    <w:rsid w:val="00576F6A"/>
    <w:rsid w:val="00582342"/>
    <w:rsid w:val="00583157"/>
    <w:rsid w:val="005860EC"/>
    <w:rsid w:val="00587138"/>
    <w:rsid w:val="00597FCE"/>
    <w:rsid w:val="005A12D6"/>
    <w:rsid w:val="005A1B2E"/>
    <w:rsid w:val="005A41DC"/>
    <w:rsid w:val="005A4B54"/>
    <w:rsid w:val="005A6B95"/>
    <w:rsid w:val="005B51B7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2E47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B13A9"/>
    <w:rsid w:val="006B1982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365BB"/>
    <w:rsid w:val="007570DA"/>
    <w:rsid w:val="00760BA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97ACF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6970"/>
    <w:rsid w:val="00837CC0"/>
    <w:rsid w:val="00841992"/>
    <w:rsid w:val="00842121"/>
    <w:rsid w:val="00846A59"/>
    <w:rsid w:val="00863902"/>
    <w:rsid w:val="008675C1"/>
    <w:rsid w:val="00872754"/>
    <w:rsid w:val="00873EB2"/>
    <w:rsid w:val="00877453"/>
    <w:rsid w:val="00881D12"/>
    <w:rsid w:val="00881E17"/>
    <w:rsid w:val="0089312E"/>
    <w:rsid w:val="00894E52"/>
    <w:rsid w:val="008A1D6F"/>
    <w:rsid w:val="008A2BBA"/>
    <w:rsid w:val="008A410E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0772C"/>
    <w:rsid w:val="00912245"/>
    <w:rsid w:val="009149F8"/>
    <w:rsid w:val="0091569E"/>
    <w:rsid w:val="00917EF8"/>
    <w:rsid w:val="00925528"/>
    <w:rsid w:val="009264AF"/>
    <w:rsid w:val="00926722"/>
    <w:rsid w:val="0093199C"/>
    <w:rsid w:val="00956248"/>
    <w:rsid w:val="00956B7F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97333"/>
    <w:rsid w:val="009A22CB"/>
    <w:rsid w:val="009A243B"/>
    <w:rsid w:val="009A2F26"/>
    <w:rsid w:val="009A36AA"/>
    <w:rsid w:val="009B70E3"/>
    <w:rsid w:val="009B7BA7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0D8F"/>
    <w:rsid w:val="00A01677"/>
    <w:rsid w:val="00A03D3C"/>
    <w:rsid w:val="00A12459"/>
    <w:rsid w:val="00A12FD7"/>
    <w:rsid w:val="00A24030"/>
    <w:rsid w:val="00A403EB"/>
    <w:rsid w:val="00A46757"/>
    <w:rsid w:val="00A46A73"/>
    <w:rsid w:val="00A50C5C"/>
    <w:rsid w:val="00A53846"/>
    <w:rsid w:val="00A57B15"/>
    <w:rsid w:val="00A57E81"/>
    <w:rsid w:val="00A60B2C"/>
    <w:rsid w:val="00A635BB"/>
    <w:rsid w:val="00A65202"/>
    <w:rsid w:val="00A75CDE"/>
    <w:rsid w:val="00A77202"/>
    <w:rsid w:val="00A80987"/>
    <w:rsid w:val="00A8290D"/>
    <w:rsid w:val="00A84392"/>
    <w:rsid w:val="00A90BF0"/>
    <w:rsid w:val="00A90DA1"/>
    <w:rsid w:val="00AA22DF"/>
    <w:rsid w:val="00AA39C9"/>
    <w:rsid w:val="00AA6222"/>
    <w:rsid w:val="00AB3587"/>
    <w:rsid w:val="00AB5DCA"/>
    <w:rsid w:val="00AB7234"/>
    <w:rsid w:val="00AC3005"/>
    <w:rsid w:val="00AC51A6"/>
    <w:rsid w:val="00AC5D96"/>
    <w:rsid w:val="00AC62D9"/>
    <w:rsid w:val="00AC7A56"/>
    <w:rsid w:val="00AF063A"/>
    <w:rsid w:val="00B01865"/>
    <w:rsid w:val="00B15E61"/>
    <w:rsid w:val="00B202CF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49AE"/>
    <w:rsid w:val="00B7767B"/>
    <w:rsid w:val="00B84BCA"/>
    <w:rsid w:val="00B91CF8"/>
    <w:rsid w:val="00BA0D4E"/>
    <w:rsid w:val="00BA45D7"/>
    <w:rsid w:val="00BA4F7A"/>
    <w:rsid w:val="00BA5552"/>
    <w:rsid w:val="00BA5987"/>
    <w:rsid w:val="00BA767C"/>
    <w:rsid w:val="00BB0AD3"/>
    <w:rsid w:val="00BB2D53"/>
    <w:rsid w:val="00BB7576"/>
    <w:rsid w:val="00BC0386"/>
    <w:rsid w:val="00BC1601"/>
    <w:rsid w:val="00BC7947"/>
    <w:rsid w:val="00BD2B9C"/>
    <w:rsid w:val="00BD2C1B"/>
    <w:rsid w:val="00BD65F9"/>
    <w:rsid w:val="00BE33C0"/>
    <w:rsid w:val="00BE6053"/>
    <w:rsid w:val="00BF620F"/>
    <w:rsid w:val="00BF6BD8"/>
    <w:rsid w:val="00C04ADB"/>
    <w:rsid w:val="00C237DC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08BD"/>
    <w:rsid w:val="00C672F2"/>
    <w:rsid w:val="00C75A20"/>
    <w:rsid w:val="00C762C7"/>
    <w:rsid w:val="00C80DF5"/>
    <w:rsid w:val="00C900B7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6283"/>
    <w:rsid w:val="00CE7785"/>
    <w:rsid w:val="00CF08AA"/>
    <w:rsid w:val="00CF32CE"/>
    <w:rsid w:val="00CF5562"/>
    <w:rsid w:val="00CF7685"/>
    <w:rsid w:val="00CF7F61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879E4"/>
    <w:rsid w:val="00D90025"/>
    <w:rsid w:val="00D9678E"/>
    <w:rsid w:val="00DB1027"/>
    <w:rsid w:val="00DC0110"/>
    <w:rsid w:val="00DC28D7"/>
    <w:rsid w:val="00DD1804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2DC6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4536"/>
    <w:rsid w:val="00F07AC4"/>
    <w:rsid w:val="00F10A6B"/>
    <w:rsid w:val="00F15C51"/>
    <w:rsid w:val="00F20419"/>
    <w:rsid w:val="00F2080F"/>
    <w:rsid w:val="00F2586F"/>
    <w:rsid w:val="00F43D27"/>
    <w:rsid w:val="00F447A5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0C1C"/>
    <w:rsid w:val="00F87036"/>
    <w:rsid w:val="00FA407D"/>
    <w:rsid w:val="00FB27E2"/>
    <w:rsid w:val="00FB7381"/>
    <w:rsid w:val="00FC0759"/>
    <w:rsid w:val="00FC3A11"/>
    <w:rsid w:val="00FC4083"/>
    <w:rsid w:val="00FC7992"/>
    <w:rsid w:val="00FD4327"/>
    <w:rsid w:val="00FD6A69"/>
    <w:rsid w:val="00FD7C48"/>
    <w:rsid w:val="00FE7E9E"/>
    <w:rsid w:val="00FF04CD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418B-5299-424C-91B3-A92E250C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User</cp:lastModifiedBy>
  <cp:revision>6</cp:revision>
  <cp:lastPrinted>2017-01-13T08:35:00Z</cp:lastPrinted>
  <dcterms:created xsi:type="dcterms:W3CDTF">2019-07-01T04:01:00Z</dcterms:created>
  <dcterms:modified xsi:type="dcterms:W3CDTF">2019-08-01T06:56:00Z</dcterms:modified>
</cp:coreProperties>
</file>