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16E" w:rsidRPr="007E0CC2" w:rsidRDefault="00A662A7" w:rsidP="002D721D">
      <w:pPr>
        <w:adjustRightInd w:val="0"/>
        <w:snapToGrid w:val="0"/>
        <w:spacing w:line="360" w:lineRule="auto"/>
        <w:rPr>
          <w:rFonts w:asciiTheme="minorEastAsia" w:eastAsiaTheme="minorEastAsia" w:hAnsiTheme="minorEastAsia"/>
          <w:sz w:val="24"/>
          <w:szCs w:val="24"/>
        </w:rPr>
      </w:pPr>
      <w:r w:rsidRPr="007E0CC2">
        <w:rPr>
          <w:rFonts w:asciiTheme="minorEastAsia" w:eastAsiaTheme="minorEastAsia" w:hAnsiTheme="minorEastAsia" w:hint="eastAsia"/>
          <w:sz w:val="24"/>
          <w:szCs w:val="24"/>
        </w:rPr>
        <w:t>证券代码：603858       证券简称：步长制药        公告编号：201</w:t>
      </w:r>
      <w:r w:rsidR="008B6E4A" w:rsidRPr="007E0CC2">
        <w:rPr>
          <w:rFonts w:asciiTheme="minorEastAsia" w:eastAsiaTheme="minorEastAsia" w:hAnsiTheme="minorEastAsia"/>
          <w:sz w:val="24"/>
          <w:szCs w:val="24"/>
        </w:rPr>
        <w:t>9</w:t>
      </w:r>
      <w:r w:rsidRPr="007E0CC2">
        <w:rPr>
          <w:rFonts w:asciiTheme="minorEastAsia" w:eastAsiaTheme="minorEastAsia" w:hAnsiTheme="minorEastAsia" w:hint="eastAsia"/>
          <w:sz w:val="24"/>
          <w:szCs w:val="24"/>
        </w:rPr>
        <w:t>-</w:t>
      </w:r>
      <w:r w:rsidR="004713D7" w:rsidRPr="007E0CC2">
        <w:rPr>
          <w:rFonts w:asciiTheme="minorEastAsia" w:eastAsiaTheme="minorEastAsia" w:hAnsiTheme="minorEastAsia" w:hint="eastAsia"/>
          <w:sz w:val="24"/>
          <w:szCs w:val="24"/>
        </w:rPr>
        <w:t>0</w:t>
      </w:r>
      <w:r w:rsidR="004713D7" w:rsidRPr="007E0CC2">
        <w:rPr>
          <w:rFonts w:asciiTheme="minorEastAsia" w:eastAsiaTheme="minorEastAsia" w:hAnsiTheme="minorEastAsia"/>
          <w:sz w:val="24"/>
          <w:szCs w:val="24"/>
        </w:rPr>
        <w:t>67</w:t>
      </w:r>
    </w:p>
    <w:p w:rsidR="00A662A7" w:rsidRPr="007E0CC2" w:rsidRDefault="00A662A7" w:rsidP="00E05A26">
      <w:pPr>
        <w:adjustRightInd w:val="0"/>
        <w:snapToGrid w:val="0"/>
        <w:spacing w:before="100" w:beforeAutospacing="1" w:line="360" w:lineRule="auto"/>
        <w:jc w:val="center"/>
        <w:rPr>
          <w:rFonts w:asciiTheme="minorEastAsia" w:eastAsiaTheme="minorEastAsia" w:hAnsiTheme="minorEastAsia"/>
          <w:b/>
          <w:color w:val="FF0000"/>
          <w:sz w:val="36"/>
          <w:szCs w:val="36"/>
        </w:rPr>
      </w:pPr>
      <w:r w:rsidRPr="007E0CC2">
        <w:rPr>
          <w:rFonts w:asciiTheme="minorEastAsia" w:eastAsiaTheme="minorEastAsia" w:hAnsiTheme="minorEastAsia" w:hint="eastAsia"/>
          <w:b/>
          <w:color w:val="FF0000"/>
          <w:sz w:val="36"/>
          <w:szCs w:val="36"/>
        </w:rPr>
        <w:t>山东步长制药股份有限公司</w:t>
      </w:r>
    </w:p>
    <w:p w:rsidR="00F6170B" w:rsidRPr="007E0CC2" w:rsidRDefault="005125BC" w:rsidP="006379DE">
      <w:pPr>
        <w:adjustRightInd w:val="0"/>
        <w:snapToGrid w:val="0"/>
        <w:spacing w:line="360" w:lineRule="auto"/>
        <w:jc w:val="center"/>
        <w:rPr>
          <w:rFonts w:asciiTheme="minorEastAsia" w:eastAsiaTheme="minorEastAsia" w:hAnsiTheme="minorEastAsia"/>
          <w:bCs/>
          <w:color w:val="FF0000"/>
          <w:sz w:val="30"/>
          <w:szCs w:val="30"/>
        </w:rPr>
      </w:pPr>
      <w:r w:rsidRPr="007E0CC2">
        <w:rPr>
          <w:rFonts w:asciiTheme="minorEastAsia" w:eastAsiaTheme="minorEastAsia" w:hAnsiTheme="minorEastAsia" w:hint="eastAsia"/>
          <w:b/>
          <w:color w:val="FF0000"/>
          <w:sz w:val="36"/>
          <w:szCs w:val="36"/>
        </w:rPr>
        <w:t>关于</w:t>
      </w:r>
      <w:r w:rsidR="006379DE" w:rsidRPr="007E0CC2">
        <w:rPr>
          <w:rFonts w:asciiTheme="minorEastAsia" w:eastAsiaTheme="minorEastAsia" w:hAnsiTheme="minorEastAsia" w:hint="eastAsia"/>
          <w:b/>
          <w:color w:val="FF0000"/>
          <w:sz w:val="36"/>
          <w:szCs w:val="36"/>
        </w:rPr>
        <w:t>上海证券交易所</w:t>
      </w:r>
      <w:r w:rsidR="00667AE8" w:rsidRPr="007E0CC2">
        <w:rPr>
          <w:rFonts w:asciiTheme="minorEastAsia" w:eastAsiaTheme="minorEastAsia" w:hAnsiTheme="minorEastAsia" w:hint="eastAsia"/>
          <w:b/>
          <w:color w:val="FF0000"/>
          <w:sz w:val="36"/>
          <w:szCs w:val="36"/>
        </w:rPr>
        <w:t>对公司</w:t>
      </w:r>
      <w:r w:rsidR="008B6E4A" w:rsidRPr="007E0CC2">
        <w:rPr>
          <w:rFonts w:asciiTheme="minorEastAsia" w:eastAsiaTheme="minorEastAsia" w:hAnsiTheme="minorEastAsia" w:hint="eastAsia"/>
          <w:b/>
          <w:color w:val="FF0000"/>
          <w:sz w:val="36"/>
          <w:szCs w:val="36"/>
        </w:rPr>
        <w:t>2018</w:t>
      </w:r>
      <w:r w:rsidR="004E438A" w:rsidRPr="007E0CC2">
        <w:rPr>
          <w:rFonts w:asciiTheme="minorEastAsia" w:eastAsiaTheme="minorEastAsia" w:hAnsiTheme="minorEastAsia" w:hint="eastAsia"/>
          <w:b/>
          <w:color w:val="FF0000"/>
          <w:sz w:val="36"/>
          <w:szCs w:val="36"/>
        </w:rPr>
        <w:t>年年度报告</w:t>
      </w:r>
      <w:r w:rsidR="00A1703B" w:rsidRPr="007E0CC2">
        <w:rPr>
          <w:rFonts w:asciiTheme="minorEastAsia" w:eastAsiaTheme="minorEastAsia" w:hAnsiTheme="minorEastAsia" w:hint="eastAsia"/>
          <w:b/>
          <w:color w:val="FF0000"/>
          <w:sz w:val="36"/>
          <w:szCs w:val="36"/>
        </w:rPr>
        <w:t>的事后审核</w:t>
      </w:r>
      <w:r w:rsidR="006379DE" w:rsidRPr="007E0CC2">
        <w:rPr>
          <w:rFonts w:asciiTheme="minorEastAsia" w:eastAsiaTheme="minorEastAsia" w:hAnsiTheme="minorEastAsia" w:hint="eastAsia"/>
          <w:b/>
          <w:color w:val="FF0000"/>
          <w:sz w:val="36"/>
          <w:szCs w:val="36"/>
        </w:rPr>
        <w:t>问询函的</w:t>
      </w:r>
      <w:r w:rsidRPr="007E0CC2">
        <w:rPr>
          <w:rFonts w:asciiTheme="minorEastAsia" w:eastAsiaTheme="minorEastAsia" w:hAnsiTheme="minorEastAsia" w:hint="eastAsia"/>
          <w:b/>
          <w:color w:val="FF0000"/>
          <w:sz w:val="36"/>
          <w:szCs w:val="36"/>
        </w:rPr>
        <w:t>回复</w:t>
      </w:r>
      <w:r w:rsidR="00B842D9" w:rsidRPr="007E0CC2">
        <w:rPr>
          <w:rFonts w:asciiTheme="minorEastAsia" w:eastAsiaTheme="minorEastAsia" w:hAnsiTheme="minorEastAsia" w:hint="eastAsia"/>
          <w:b/>
          <w:color w:val="FF0000"/>
          <w:sz w:val="36"/>
          <w:szCs w:val="36"/>
        </w:rPr>
        <w:t>补充</w:t>
      </w:r>
      <w:r w:rsidR="006379DE" w:rsidRPr="007E0CC2">
        <w:rPr>
          <w:rFonts w:asciiTheme="minorEastAsia" w:eastAsiaTheme="minorEastAsia" w:hAnsiTheme="minorEastAsia" w:hint="eastAsia"/>
          <w:b/>
          <w:color w:val="FF0000"/>
          <w:sz w:val="36"/>
          <w:szCs w:val="36"/>
        </w:rPr>
        <w:t>公告</w:t>
      </w:r>
    </w:p>
    <w:p w:rsidR="00D5516E" w:rsidRPr="007E0CC2" w:rsidRDefault="00B10A15" w:rsidP="00720C74">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4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本公司</w:t>
      </w:r>
      <w:r w:rsidR="008E449F" w:rsidRPr="007E0CC2">
        <w:rPr>
          <w:rFonts w:asciiTheme="minorEastAsia" w:eastAsiaTheme="minorEastAsia" w:hAnsiTheme="minorEastAsia" w:hint="eastAsia"/>
          <w:sz w:val="22"/>
          <w:szCs w:val="24"/>
        </w:rPr>
        <w:t>董事会及全体董事</w:t>
      </w:r>
      <w:r w:rsidRPr="007E0CC2">
        <w:rPr>
          <w:rFonts w:asciiTheme="minorEastAsia" w:eastAsiaTheme="minorEastAsia" w:hAnsiTheme="minorEastAsia" w:hint="eastAsia"/>
          <w:sz w:val="22"/>
          <w:szCs w:val="24"/>
        </w:rPr>
        <w:t>保证本公告内容不存在任何虚假记载、误导性陈述或者重大遗漏，并对其内容的真实性、准确性和完整性承担个别及连带责任</w:t>
      </w:r>
      <w:r w:rsidR="00F6170B" w:rsidRPr="007E0CC2">
        <w:rPr>
          <w:rFonts w:asciiTheme="minorEastAsia" w:eastAsiaTheme="minorEastAsia" w:hAnsiTheme="minorEastAsia" w:hint="eastAsia"/>
          <w:sz w:val="22"/>
          <w:szCs w:val="24"/>
        </w:rPr>
        <w:t>。</w:t>
      </w:r>
    </w:p>
    <w:p w:rsidR="00720C74" w:rsidRPr="007E0CC2" w:rsidRDefault="00720C74" w:rsidP="00720C74">
      <w:pPr>
        <w:adjustRightInd w:val="0"/>
        <w:snapToGrid w:val="0"/>
        <w:spacing w:line="360" w:lineRule="auto"/>
        <w:ind w:firstLineChars="200" w:firstLine="480"/>
        <w:rPr>
          <w:rFonts w:asciiTheme="minorEastAsia" w:eastAsiaTheme="minorEastAsia" w:hAnsiTheme="minorEastAsia"/>
          <w:sz w:val="24"/>
          <w:szCs w:val="22"/>
        </w:rPr>
      </w:pPr>
    </w:p>
    <w:p w:rsidR="0096429B" w:rsidRPr="007E0CC2" w:rsidRDefault="0096429B" w:rsidP="00720C74">
      <w:pPr>
        <w:adjustRightInd w:val="0"/>
        <w:snapToGrid w:val="0"/>
        <w:spacing w:line="360" w:lineRule="auto"/>
        <w:ind w:firstLineChars="200" w:firstLine="440"/>
        <w:rPr>
          <w:rFonts w:asciiTheme="minorEastAsia" w:eastAsiaTheme="minorEastAsia" w:hAnsiTheme="minorEastAsia"/>
          <w:sz w:val="22"/>
          <w:szCs w:val="22"/>
        </w:rPr>
      </w:pPr>
      <w:r w:rsidRPr="007E0CC2">
        <w:rPr>
          <w:rFonts w:asciiTheme="minorEastAsia" w:eastAsiaTheme="minorEastAsia" w:hAnsiTheme="minorEastAsia" w:hint="eastAsia"/>
          <w:sz w:val="22"/>
          <w:szCs w:val="22"/>
        </w:rPr>
        <w:t>山东步长制药股份有限公司</w:t>
      </w:r>
      <w:r w:rsidR="00B87F2F" w:rsidRPr="007E0CC2">
        <w:rPr>
          <w:rFonts w:asciiTheme="minorEastAsia" w:eastAsiaTheme="minorEastAsia" w:hAnsiTheme="minorEastAsia" w:hint="eastAsia"/>
          <w:sz w:val="22"/>
          <w:szCs w:val="22"/>
        </w:rPr>
        <w:t>（以下简称“公司</w:t>
      </w:r>
      <w:r w:rsidR="00E90ABF" w:rsidRPr="007E0CC2">
        <w:rPr>
          <w:rFonts w:asciiTheme="minorEastAsia" w:eastAsiaTheme="minorEastAsia" w:hAnsiTheme="minorEastAsia" w:hint="eastAsia"/>
          <w:sz w:val="22"/>
          <w:szCs w:val="22"/>
        </w:rPr>
        <w:t>”或“步长制药</w:t>
      </w:r>
      <w:r w:rsidR="00B87F2F" w:rsidRPr="007E0CC2">
        <w:rPr>
          <w:rFonts w:asciiTheme="minorEastAsia" w:eastAsiaTheme="minorEastAsia" w:hAnsiTheme="minorEastAsia" w:hint="eastAsia"/>
          <w:sz w:val="22"/>
          <w:szCs w:val="22"/>
        </w:rPr>
        <w:t>”）</w:t>
      </w:r>
      <w:r w:rsidR="00B842D9" w:rsidRPr="007E0CC2">
        <w:rPr>
          <w:rFonts w:asciiTheme="minorEastAsia" w:eastAsiaTheme="minorEastAsia" w:hAnsiTheme="minorEastAsia" w:hint="eastAsia"/>
          <w:sz w:val="22"/>
          <w:szCs w:val="22"/>
        </w:rPr>
        <w:t>于2019年</w:t>
      </w:r>
      <w:r w:rsidR="00B842D9" w:rsidRPr="007E0CC2">
        <w:rPr>
          <w:rFonts w:asciiTheme="minorEastAsia" w:eastAsiaTheme="minorEastAsia" w:hAnsiTheme="minorEastAsia"/>
          <w:sz w:val="22"/>
          <w:szCs w:val="22"/>
        </w:rPr>
        <w:t>5</w:t>
      </w:r>
      <w:r w:rsidR="00B842D9" w:rsidRPr="007E0CC2">
        <w:rPr>
          <w:rFonts w:asciiTheme="minorEastAsia" w:eastAsiaTheme="minorEastAsia" w:hAnsiTheme="minorEastAsia" w:hint="eastAsia"/>
          <w:sz w:val="22"/>
          <w:szCs w:val="22"/>
        </w:rPr>
        <w:t>月</w:t>
      </w:r>
      <w:r w:rsidR="00B842D9" w:rsidRPr="007E0CC2">
        <w:rPr>
          <w:rFonts w:asciiTheme="minorEastAsia" w:eastAsiaTheme="minorEastAsia" w:hAnsiTheme="minorEastAsia"/>
          <w:sz w:val="22"/>
          <w:szCs w:val="22"/>
        </w:rPr>
        <w:t>22</w:t>
      </w:r>
      <w:r w:rsidR="00B842D9" w:rsidRPr="007E0CC2">
        <w:rPr>
          <w:rFonts w:asciiTheme="minorEastAsia" w:eastAsiaTheme="minorEastAsia" w:hAnsiTheme="minorEastAsia" w:hint="eastAsia"/>
          <w:sz w:val="22"/>
          <w:szCs w:val="22"/>
        </w:rPr>
        <w:t>日在上海证券交易所网站披露了</w:t>
      </w:r>
      <w:r w:rsidR="006379DE" w:rsidRPr="007E0CC2">
        <w:rPr>
          <w:rFonts w:asciiTheme="minorEastAsia" w:eastAsiaTheme="minorEastAsia" w:hAnsiTheme="minorEastAsia" w:hint="eastAsia"/>
          <w:sz w:val="22"/>
          <w:szCs w:val="22"/>
        </w:rPr>
        <w:t>《</w:t>
      </w:r>
      <w:r w:rsidR="00AF6904" w:rsidRPr="007E0CC2">
        <w:rPr>
          <w:rFonts w:asciiTheme="minorEastAsia" w:eastAsiaTheme="minorEastAsia" w:hAnsiTheme="minorEastAsia" w:hint="eastAsia"/>
          <w:sz w:val="22"/>
          <w:szCs w:val="22"/>
        </w:rPr>
        <w:t>山东步长制药股份有限公司关于上海证券交易所对公司2018年年度报告的事后审核问询函的回复公告</w:t>
      </w:r>
      <w:r w:rsidR="00B842D9" w:rsidRPr="007E0CC2">
        <w:rPr>
          <w:rFonts w:asciiTheme="minorEastAsia" w:eastAsiaTheme="minorEastAsia" w:hAnsiTheme="minorEastAsia" w:hint="eastAsia"/>
          <w:sz w:val="22"/>
          <w:szCs w:val="22"/>
        </w:rPr>
        <w:t>》</w:t>
      </w:r>
      <w:r w:rsidR="00AF6904" w:rsidRPr="007E0CC2">
        <w:rPr>
          <w:rFonts w:asciiTheme="minorEastAsia" w:eastAsiaTheme="minorEastAsia" w:hAnsiTheme="minorEastAsia" w:hint="eastAsia"/>
          <w:sz w:val="22"/>
          <w:szCs w:val="22"/>
        </w:rPr>
        <w:t>（公告编号：2019-</w:t>
      </w:r>
      <w:r w:rsidR="00AF6904" w:rsidRPr="007E0CC2">
        <w:rPr>
          <w:rFonts w:asciiTheme="minorEastAsia" w:eastAsiaTheme="minorEastAsia" w:hAnsiTheme="minorEastAsia"/>
          <w:sz w:val="22"/>
          <w:szCs w:val="22"/>
        </w:rPr>
        <w:t>063</w:t>
      </w:r>
      <w:r w:rsidR="00AF6904" w:rsidRPr="007E0CC2">
        <w:rPr>
          <w:rFonts w:asciiTheme="minorEastAsia" w:eastAsiaTheme="minorEastAsia" w:hAnsiTheme="minorEastAsia" w:hint="eastAsia"/>
          <w:sz w:val="22"/>
          <w:szCs w:val="22"/>
        </w:rPr>
        <w:t>）</w:t>
      </w:r>
      <w:r w:rsidR="00554295" w:rsidRPr="007E0CC2">
        <w:rPr>
          <w:rFonts w:asciiTheme="minorEastAsia" w:eastAsiaTheme="minorEastAsia" w:hAnsiTheme="minorEastAsia" w:hint="eastAsia"/>
          <w:sz w:val="22"/>
          <w:szCs w:val="22"/>
        </w:rPr>
        <w:t>，</w:t>
      </w:r>
      <w:r w:rsidR="00AF6904" w:rsidRPr="007E0CC2">
        <w:rPr>
          <w:rFonts w:asciiTheme="minorEastAsia" w:eastAsiaTheme="minorEastAsia" w:hAnsiTheme="minorEastAsia" w:hint="eastAsia"/>
          <w:sz w:val="22"/>
          <w:szCs w:val="22"/>
        </w:rPr>
        <w:t>现对有关信息补充披露如下：</w:t>
      </w:r>
    </w:p>
    <w:p w:rsidR="00AF6904" w:rsidRPr="007E0CC2" w:rsidRDefault="00AF6904" w:rsidP="00A1703B">
      <w:pPr>
        <w:adjustRightInd w:val="0"/>
        <w:snapToGrid w:val="0"/>
        <w:spacing w:line="360" w:lineRule="auto"/>
        <w:ind w:firstLineChars="200" w:firstLine="442"/>
        <w:rPr>
          <w:rFonts w:asciiTheme="minorEastAsia" w:eastAsiaTheme="minorEastAsia" w:hAnsiTheme="minorEastAsia"/>
          <w:b/>
          <w:sz w:val="22"/>
          <w:szCs w:val="22"/>
        </w:rPr>
      </w:pPr>
    </w:p>
    <w:p w:rsidR="000D503D" w:rsidRPr="007E0CC2" w:rsidRDefault="00A1703B" w:rsidP="0090519F">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1.</w:t>
      </w:r>
      <w:r w:rsidR="005C752E" w:rsidRPr="007E0CC2">
        <w:rPr>
          <w:rFonts w:asciiTheme="minorEastAsia" w:eastAsiaTheme="minorEastAsia" w:hAnsiTheme="minorEastAsia" w:hint="eastAsia"/>
          <w:b/>
          <w:sz w:val="22"/>
          <w:szCs w:val="22"/>
        </w:rPr>
        <w:t>销售模式与收入确认。</w:t>
      </w:r>
      <w:r w:rsidR="0090519F" w:rsidRPr="007E0CC2">
        <w:rPr>
          <w:rFonts w:asciiTheme="minorEastAsia" w:eastAsiaTheme="minorEastAsia" w:hAnsiTheme="minorEastAsia" w:hint="eastAsia"/>
          <w:b/>
          <w:sz w:val="22"/>
          <w:szCs w:val="22"/>
        </w:rPr>
        <w:t>年报显示，公司采用专业化学术推广模式进行销售，由各事业部组织开展学术推广活动，最后由经销商完成对终端医院的药品配送。</w:t>
      </w:r>
    </w:p>
    <w:p w:rsidR="0090519F" w:rsidRPr="007E0CC2" w:rsidRDefault="0090519F" w:rsidP="0090519F">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（3）公司本期预收账款同比下降58%，请补充披露预收账款前五名对象情况，并结合结算方式说明预收账款大幅下降的原因，评估未来是否存在相关产品收入下滑的风险。</w:t>
      </w:r>
    </w:p>
    <w:p w:rsidR="005125BC" w:rsidRPr="007E0CC2" w:rsidRDefault="00B47A7F" w:rsidP="0090519F">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补充</w:t>
      </w:r>
      <w:r w:rsidR="0090519F" w:rsidRPr="007E0CC2">
        <w:rPr>
          <w:rFonts w:asciiTheme="minorEastAsia" w:eastAsiaTheme="minorEastAsia" w:hAnsiTheme="minorEastAsia"/>
          <w:b/>
          <w:sz w:val="22"/>
          <w:szCs w:val="22"/>
        </w:rPr>
        <w:t>回复</w:t>
      </w:r>
      <w:r w:rsidR="0090519F" w:rsidRPr="007E0CC2">
        <w:rPr>
          <w:rFonts w:asciiTheme="minorEastAsia" w:eastAsiaTheme="minorEastAsia" w:hAnsiTheme="minorEastAsia" w:hint="eastAsia"/>
          <w:b/>
          <w:sz w:val="22"/>
          <w:szCs w:val="22"/>
        </w:rPr>
        <w:t>：</w:t>
      </w:r>
    </w:p>
    <w:p w:rsidR="00937948" w:rsidRPr="007E0CC2" w:rsidRDefault="00937948" w:rsidP="00937948">
      <w:pPr>
        <w:spacing w:line="360" w:lineRule="auto"/>
        <w:ind w:firstLineChars="200" w:firstLine="440"/>
        <w:rPr>
          <w:sz w:val="22"/>
          <w:szCs w:val="22"/>
        </w:rPr>
      </w:pPr>
      <w:r w:rsidRPr="007E0CC2">
        <w:rPr>
          <w:rFonts w:hint="eastAsia"/>
          <w:sz w:val="22"/>
          <w:szCs w:val="22"/>
        </w:rPr>
        <w:t>公司近几年预收款项总体金额不大，公司</w:t>
      </w:r>
      <w:r w:rsidR="00610ABF" w:rsidRPr="007E0CC2">
        <w:rPr>
          <w:rFonts w:hint="eastAsia"/>
          <w:sz w:val="22"/>
          <w:szCs w:val="22"/>
        </w:rPr>
        <w:t>给予经销商的信用政策包括先款后货、</w:t>
      </w:r>
      <w:r w:rsidR="00610ABF" w:rsidRPr="007E0CC2">
        <w:rPr>
          <w:rFonts w:hint="eastAsia"/>
          <w:sz w:val="22"/>
          <w:szCs w:val="22"/>
        </w:rPr>
        <w:t>30</w:t>
      </w:r>
      <w:r w:rsidR="00610ABF" w:rsidRPr="007E0CC2">
        <w:rPr>
          <w:rFonts w:hint="eastAsia"/>
          <w:sz w:val="22"/>
          <w:szCs w:val="22"/>
        </w:rPr>
        <w:t>天回款、前清后货</w:t>
      </w:r>
      <w:r w:rsidR="00C30BE9" w:rsidRPr="007E0CC2">
        <w:rPr>
          <w:rFonts w:hint="eastAsia"/>
          <w:sz w:val="22"/>
          <w:szCs w:val="22"/>
        </w:rPr>
        <w:t>等</w:t>
      </w:r>
      <w:r w:rsidR="00610ABF" w:rsidRPr="007E0CC2">
        <w:rPr>
          <w:rFonts w:hint="eastAsia"/>
          <w:sz w:val="22"/>
          <w:szCs w:val="22"/>
        </w:rPr>
        <w:t>几种方式，上述几种方式对应的折扣率不同，客户根据自身需求选择适合的回款时间，</w:t>
      </w:r>
      <w:r w:rsidR="004713D7" w:rsidRPr="007E0CC2">
        <w:rPr>
          <w:rFonts w:hint="eastAsia"/>
          <w:sz w:val="22"/>
          <w:szCs w:val="22"/>
        </w:rPr>
        <w:t>公司未针对</w:t>
      </w:r>
      <w:r w:rsidR="007E0CC2" w:rsidRPr="007E0CC2">
        <w:rPr>
          <w:rFonts w:hint="eastAsia"/>
          <w:sz w:val="22"/>
          <w:szCs w:val="22"/>
        </w:rPr>
        <w:t>某类业务</w:t>
      </w:r>
      <w:r w:rsidR="004713D7" w:rsidRPr="007E0CC2">
        <w:rPr>
          <w:rFonts w:hint="eastAsia"/>
          <w:sz w:val="22"/>
          <w:szCs w:val="22"/>
        </w:rPr>
        <w:t>或</w:t>
      </w:r>
      <w:r w:rsidR="007E0CC2" w:rsidRPr="007E0CC2">
        <w:rPr>
          <w:rFonts w:hint="eastAsia"/>
          <w:sz w:val="22"/>
          <w:szCs w:val="22"/>
        </w:rPr>
        <w:t>某类</w:t>
      </w:r>
      <w:r w:rsidR="004713D7" w:rsidRPr="007E0CC2">
        <w:rPr>
          <w:rFonts w:hint="eastAsia"/>
          <w:sz w:val="22"/>
          <w:szCs w:val="22"/>
        </w:rPr>
        <w:t>客户制定特殊的信用政策。近年来，</w:t>
      </w:r>
      <w:r w:rsidR="00610ABF" w:rsidRPr="007E0CC2">
        <w:rPr>
          <w:rFonts w:hint="eastAsia"/>
          <w:sz w:val="22"/>
          <w:szCs w:val="22"/>
        </w:rPr>
        <w:t>由于受国家</w:t>
      </w:r>
      <w:r w:rsidR="00A801A8" w:rsidRPr="007E0CC2">
        <w:rPr>
          <w:rFonts w:hint="eastAsia"/>
          <w:sz w:val="22"/>
          <w:szCs w:val="22"/>
        </w:rPr>
        <w:t>医药</w:t>
      </w:r>
      <w:r w:rsidR="00610ABF" w:rsidRPr="007E0CC2">
        <w:rPr>
          <w:rFonts w:hint="eastAsia"/>
          <w:sz w:val="22"/>
          <w:szCs w:val="22"/>
        </w:rPr>
        <w:t>政策</w:t>
      </w:r>
      <w:r w:rsidR="00A801A8" w:rsidRPr="007E0CC2">
        <w:rPr>
          <w:rFonts w:hint="eastAsia"/>
          <w:sz w:val="22"/>
          <w:szCs w:val="22"/>
        </w:rPr>
        <w:t>变动</w:t>
      </w:r>
      <w:r w:rsidR="00610ABF" w:rsidRPr="007E0CC2">
        <w:rPr>
          <w:rFonts w:hint="eastAsia"/>
          <w:sz w:val="22"/>
          <w:szCs w:val="22"/>
        </w:rPr>
        <w:t>影响，销售市场预期有所下降，公司先款后货的销售比例有所下降，</w:t>
      </w:r>
      <w:r w:rsidR="00E239EF" w:rsidRPr="007E0CC2">
        <w:rPr>
          <w:rFonts w:hint="eastAsia"/>
          <w:sz w:val="22"/>
          <w:szCs w:val="22"/>
        </w:rPr>
        <w:t>属于经营过程中的正常情况</w:t>
      </w:r>
      <w:r w:rsidR="003E7870" w:rsidRPr="007E0CC2">
        <w:rPr>
          <w:rFonts w:hint="eastAsia"/>
          <w:sz w:val="22"/>
          <w:szCs w:val="22"/>
        </w:rPr>
        <w:t>。</w:t>
      </w:r>
      <w:r w:rsidRPr="007E0CC2">
        <w:rPr>
          <w:rFonts w:hint="eastAsia"/>
          <w:sz w:val="22"/>
          <w:szCs w:val="22"/>
        </w:rPr>
        <w:t>公司</w:t>
      </w:r>
      <w:r w:rsidRPr="007E0CC2">
        <w:rPr>
          <w:rFonts w:hint="eastAsia"/>
          <w:sz w:val="22"/>
          <w:szCs w:val="22"/>
        </w:rPr>
        <w:t>2019</w:t>
      </w:r>
      <w:r w:rsidRPr="007E0CC2">
        <w:rPr>
          <w:rFonts w:hint="eastAsia"/>
          <w:sz w:val="22"/>
          <w:szCs w:val="22"/>
        </w:rPr>
        <w:t>年一季度实现营业收入</w:t>
      </w:r>
      <w:r w:rsidRPr="007E0CC2">
        <w:rPr>
          <w:sz w:val="22"/>
          <w:szCs w:val="22"/>
        </w:rPr>
        <w:t>288</w:t>
      </w:r>
      <w:r w:rsidRPr="007E0CC2">
        <w:rPr>
          <w:rFonts w:hint="eastAsia"/>
          <w:sz w:val="22"/>
          <w:szCs w:val="22"/>
        </w:rPr>
        <w:t>,</w:t>
      </w:r>
      <w:r w:rsidRPr="007E0CC2">
        <w:rPr>
          <w:sz w:val="22"/>
          <w:szCs w:val="22"/>
        </w:rPr>
        <w:t>311</w:t>
      </w:r>
      <w:r w:rsidRPr="007E0CC2">
        <w:rPr>
          <w:rFonts w:hint="eastAsia"/>
          <w:sz w:val="22"/>
          <w:szCs w:val="22"/>
        </w:rPr>
        <w:t>.</w:t>
      </w:r>
      <w:r w:rsidRPr="007E0CC2">
        <w:rPr>
          <w:sz w:val="22"/>
          <w:szCs w:val="22"/>
        </w:rPr>
        <w:t>31</w:t>
      </w:r>
      <w:r w:rsidRPr="007E0CC2">
        <w:rPr>
          <w:sz w:val="22"/>
          <w:szCs w:val="22"/>
        </w:rPr>
        <w:t>万</w:t>
      </w:r>
      <w:r w:rsidRPr="007E0CC2">
        <w:rPr>
          <w:rFonts w:hint="eastAsia"/>
          <w:sz w:val="22"/>
          <w:szCs w:val="22"/>
        </w:rPr>
        <w:t>元，较</w:t>
      </w:r>
      <w:r w:rsidRPr="007E0CC2">
        <w:rPr>
          <w:rFonts w:hint="eastAsia"/>
          <w:sz w:val="22"/>
          <w:szCs w:val="22"/>
        </w:rPr>
        <w:t>2018</w:t>
      </w:r>
      <w:r w:rsidRPr="007E0CC2">
        <w:rPr>
          <w:rFonts w:hint="eastAsia"/>
          <w:sz w:val="22"/>
          <w:szCs w:val="22"/>
        </w:rPr>
        <w:t>年一季度营业收入</w:t>
      </w:r>
      <w:r w:rsidRPr="007E0CC2">
        <w:rPr>
          <w:sz w:val="22"/>
          <w:szCs w:val="22"/>
        </w:rPr>
        <w:t>243,078</w:t>
      </w:r>
      <w:r w:rsidRPr="007E0CC2">
        <w:rPr>
          <w:rFonts w:hint="eastAsia"/>
          <w:sz w:val="22"/>
          <w:szCs w:val="22"/>
        </w:rPr>
        <w:t>.</w:t>
      </w:r>
      <w:r w:rsidRPr="007E0CC2">
        <w:rPr>
          <w:sz w:val="22"/>
          <w:szCs w:val="22"/>
        </w:rPr>
        <w:t>45</w:t>
      </w:r>
      <w:r w:rsidRPr="007E0CC2">
        <w:rPr>
          <w:rFonts w:hint="eastAsia"/>
          <w:sz w:val="22"/>
          <w:szCs w:val="22"/>
        </w:rPr>
        <w:t>万元增长</w:t>
      </w:r>
      <w:r w:rsidRPr="007E0CC2">
        <w:rPr>
          <w:sz w:val="22"/>
          <w:szCs w:val="22"/>
        </w:rPr>
        <w:t>45,232.86</w:t>
      </w:r>
      <w:r w:rsidRPr="007E0CC2">
        <w:rPr>
          <w:sz w:val="22"/>
          <w:szCs w:val="22"/>
        </w:rPr>
        <w:t>万</w:t>
      </w:r>
      <w:r w:rsidRPr="007E0CC2">
        <w:rPr>
          <w:rFonts w:hint="eastAsia"/>
          <w:sz w:val="22"/>
          <w:szCs w:val="22"/>
        </w:rPr>
        <w:t>元，增长率为</w:t>
      </w:r>
      <w:r w:rsidRPr="007E0CC2">
        <w:rPr>
          <w:sz w:val="22"/>
          <w:szCs w:val="22"/>
        </w:rPr>
        <w:t>18.61%</w:t>
      </w:r>
      <w:r w:rsidRPr="007E0CC2">
        <w:rPr>
          <w:rFonts w:hint="eastAsia"/>
          <w:sz w:val="22"/>
          <w:szCs w:val="22"/>
        </w:rPr>
        <w:t>，因此从目前情况看公司不存</w:t>
      </w:r>
      <w:r w:rsidRPr="007E0CC2">
        <w:rPr>
          <w:sz w:val="22"/>
          <w:szCs w:val="22"/>
        </w:rPr>
        <w:t>在相关产品收入下滑的风险</w:t>
      </w:r>
      <w:r w:rsidRPr="007E0CC2">
        <w:rPr>
          <w:rFonts w:hint="eastAsia"/>
          <w:sz w:val="22"/>
          <w:szCs w:val="22"/>
        </w:rPr>
        <w:t>。</w:t>
      </w:r>
    </w:p>
    <w:p w:rsidR="00937948" w:rsidRPr="007E0CC2" w:rsidRDefault="00937948" w:rsidP="00937948">
      <w:pPr>
        <w:spacing w:line="360" w:lineRule="auto"/>
        <w:ind w:firstLineChars="200" w:firstLine="440"/>
        <w:rPr>
          <w:sz w:val="22"/>
          <w:szCs w:val="22"/>
        </w:rPr>
      </w:pPr>
    </w:p>
    <w:p w:rsidR="005703DE" w:rsidRPr="007E0CC2" w:rsidRDefault="005703DE" w:rsidP="005703DE">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2.销售费用。年报显示，公司本期销售费用80.36亿元，占营业收入比例为59%，高于行业平均水平。其中，市场、学术推广费及咨询费74.86亿元，较上年数有所增长，占比超90%，其他费用9246万元。请公司：</w:t>
      </w:r>
    </w:p>
    <w:p w:rsidR="005703DE" w:rsidRPr="007E0CC2" w:rsidRDefault="005703DE" w:rsidP="005703DE">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lastRenderedPageBreak/>
        <w:t>（1）补充披露市场、学术推广费及咨询费和其他费用的主要核算内容及对应金额、主要支付对象及是否为关联方；（2）结合各类学术推广活动的场次、费用、参会人数等具体信息，分析销售费用支出的合理性；</w:t>
      </w:r>
    </w:p>
    <w:p w:rsidR="005703DE" w:rsidRPr="007E0CC2" w:rsidRDefault="00B47A7F" w:rsidP="005703DE">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补充</w:t>
      </w:r>
      <w:r w:rsidR="005703DE" w:rsidRPr="007E0CC2">
        <w:rPr>
          <w:rFonts w:asciiTheme="minorEastAsia" w:eastAsiaTheme="minorEastAsia" w:hAnsiTheme="minorEastAsia"/>
          <w:b/>
          <w:sz w:val="22"/>
          <w:szCs w:val="22"/>
        </w:rPr>
        <w:t>回复</w:t>
      </w:r>
      <w:r w:rsidR="005703DE" w:rsidRPr="007E0CC2">
        <w:rPr>
          <w:rFonts w:asciiTheme="minorEastAsia" w:eastAsiaTheme="minorEastAsia" w:hAnsiTheme="minorEastAsia" w:hint="eastAsia"/>
          <w:b/>
          <w:sz w:val="22"/>
          <w:szCs w:val="22"/>
        </w:rPr>
        <w:t>：</w:t>
      </w:r>
    </w:p>
    <w:p w:rsidR="005703DE" w:rsidRPr="007E0CC2" w:rsidRDefault="00B47A7F" w:rsidP="00B67F08">
      <w:pPr>
        <w:spacing w:line="360" w:lineRule="auto"/>
        <w:ind w:firstLineChars="200" w:firstLine="440"/>
        <w:rPr>
          <w:rFonts w:hAnsi="宋体"/>
          <w:sz w:val="22"/>
          <w:szCs w:val="22"/>
        </w:rPr>
      </w:pPr>
      <w:r w:rsidRPr="007E0CC2">
        <w:rPr>
          <w:rFonts w:hAnsi="宋体" w:hint="eastAsia"/>
          <w:sz w:val="22"/>
          <w:szCs w:val="22"/>
        </w:rPr>
        <w:t>1</w:t>
      </w:r>
      <w:r w:rsidRPr="007E0CC2">
        <w:rPr>
          <w:rFonts w:hAnsi="宋体" w:hint="eastAsia"/>
          <w:sz w:val="22"/>
          <w:szCs w:val="22"/>
        </w:rPr>
        <w:t>）</w:t>
      </w:r>
      <w:r w:rsidR="00B42FFA" w:rsidRPr="007E0CC2">
        <w:rPr>
          <w:rFonts w:hAnsi="宋体" w:hint="eastAsia"/>
          <w:sz w:val="22"/>
          <w:szCs w:val="22"/>
        </w:rPr>
        <w:t>公司销售费用较高与公司业务模式和发展特点紧密相关。公司多年发展已将自身业务拓展至全中国，目前的营销网络覆盖全国</w:t>
      </w:r>
      <w:r w:rsidR="00B42FFA" w:rsidRPr="007E0CC2">
        <w:rPr>
          <w:rFonts w:hAnsi="宋体" w:hint="eastAsia"/>
          <w:sz w:val="22"/>
          <w:szCs w:val="22"/>
        </w:rPr>
        <w:t>34</w:t>
      </w:r>
      <w:r w:rsidR="00B42FFA" w:rsidRPr="007E0CC2">
        <w:rPr>
          <w:rFonts w:hAnsi="宋体" w:hint="eastAsia"/>
          <w:sz w:val="22"/>
          <w:szCs w:val="22"/>
        </w:rPr>
        <w:t>个省级行政区域中除港澳台之外所有地区，所涉的服务提供商众多</w:t>
      </w:r>
      <w:r w:rsidR="008E2762" w:rsidRPr="007E0CC2">
        <w:rPr>
          <w:rFonts w:hAnsi="宋体" w:hint="eastAsia"/>
          <w:sz w:val="22"/>
          <w:szCs w:val="22"/>
        </w:rPr>
        <w:t>，支付对象包括医药推广商、广告公司、医药咨询公司</w:t>
      </w:r>
      <w:r w:rsidR="00F02170" w:rsidRPr="007E0CC2">
        <w:rPr>
          <w:rFonts w:hAnsi="宋体" w:hint="eastAsia"/>
          <w:sz w:val="22"/>
          <w:szCs w:val="22"/>
        </w:rPr>
        <w:t>等</w:t>
      </w:r>
      <w:r w:rsidR="00B42FFA" w:rsidRPr="007E0CC2">
        <w:rPr>
          <w:rFonts w:hAnsi="宋体" w:hint="eastAsia"/>
          <w:sz w:val="22"/>
          <w:szCs w:val="22"/>
        </w:rPr>
        <w:t>。同时，由于公司产品的种类和规格较多，在市场推广过程中相关销售费用的发生较为分散，公司销售费用的支付对象</w:t>
      </w:r>
      <w:r w:rsidR="001B3913" w:rsidRPr="007E0CC2">
        <w:rPr>
          <w:rFonts w:hAnsi="宋体" w:hint="eastAsia"/>
          <w:sz w:val="22"/>
          <w:szCs w:val="22"/>
        </w:rPr>
        <w:t>规模庞大</w:t>
      </w:r>
      <w:r w:rsidR="00124C6F" w:rsidRPr="007E0CC2">
        <w:rPr>
          <w:rFonts w:hAnsi="宋体" w:hint="eastAsia"/>
          <w:sz w:val="22"/>
          <w:szCs w:val="22"/>
        </w:rPr>
        <w:t>，前五大支付对象的销售费用总计</w:t>
      </w:r>
      <w:r w:rsidR="00BB55D2" w:rsidRPr="007E0CC2">
        <w:rPr>
          <w:rFonts w:hAnsi="宋体" w:hint="eastAsia"/>
          <w:sz w:val="22"/>
          <w:szCs w:val="22"/>
        </w:rPr>
        <w:t>仅</w:t>
      </w:r>
      <w:r w:rsidR="00124C6F" w:rsidRPr="007E0CC2">
        <w:rPr>
          <w:rFonts w:hAnsi="宋体" w:hint="eastAsia"/>
          <w:sz w:val="22"/>
          <w:szCs w:val="22"/>
        </w:rPr>
        <w:t>占公司销售费用</w:t>
      </w:r>
      <w:r w:rsidR="008E2762" w:rsidRPr="007E0CC2">
        <w:rPr>
          <w:rFonts w:hAnsi="宋体" w:hint="eastAsia"/>
          <w:sz w:val="22"/>
          <w:szCs w:val="22"/>
        </w:rPr>
        <w:t>2</w:t>
      </w:r>
      <w:r w:rsidR="008E2762" w:rsidRPr="007E0CC2">
        <w:rPr>
          <w:rFonts w:hAnsi="宋体"/>
          <w:sz w:val="22"/>
          <w:szCs w:val="22"/>
        </w:rPr>
        <w:t>.43</w:t>
      </w:r>
      <w:r w:rsidR="00124C6F" w:rsidRPr="007E0CC2">
        <w:rPr>
          <w:rFonts w:hAnsi="宋体" w:hint="eastAsia"/>
          <w:sz w:val="22"/>
          <w:szCs w:val="22"/>
        </w:rPr>
        <w:t>%</w:t>
      </w:r>
      <w:r w:rsidR="00BB55D2" w:rsidRPr="007E0CC2">
        <w:rPr>
          <w:rFonts w:hAnsi="宋体" w:hint="eastAsia"/>
          <w:sz w:val="22"/>
          <w:szCs w:val="22"/>
        </w:rPr>
        <w:t>。</w:t>
      </w:r>
      <w:r w:rsidR="00937948" w:rsidRPr="007E0CC2">
        <w:rPr>
          <w:rFonts w:hAnsi="宋体" w:hint="eastAsia"/>
          <w:sz w:val="22"/>
          <w:szCs w:val="22"/>
        </w:rPr>
        <w:t>经自查，</w:t>
      </w:r>
      <w:r w:rsidR="00BB55D2" w:rsidRPr="007E0CC2">
        <w:rPr>
          <w:rFonts w:hAnsi="宋体" w:hint="eastAsia"/>
          <w:sz w:val="22"/>
          <w:szCs w:val="22"/>
        </w:rPr>
        <w:t>销售费用的</w:t>
      </w:r>
      <w:r w:rsidR="00937948" w:rsidRPr="007E0CC2">
        <w:rPr>
          <w:rFonts w:hAnsi="宋体" w:hint="eastAsia"/>
          <w:sz w:val="22"/>
          <w:szCs w:val="22"/>
        </w:rPr>
        <w:t>主要支付对象与公司不存在关联关系</w:t>
      </w:r>
      <w:r w:rsidR="00937948" w:rsidRPr="007E0CC2">
        <w:rPr>
          <w:rFonts w:hAnsi="宋体"/>
          <w:sz w:val="22"/>
          <w:szCs w:val="28"/>
        </w:rPr>
        <w:t>。</w:t>
      </w:r>
    </w:p>
    <w:p w:rsidR="00937948" w:rsidRPr="007E0CC2" w:rsidRDefault="00937948" w:rsidP="00937948">
      <w:pPr>
        <w:spacing w:line="360" w:lineRule="auto"/>
        <w:ind w:firstLineChars="200" w:firstLine="440"/>
        <w:rPr>
          <w:rFonts w:hAnsi="宋体"/>
          <w:sz w:val="22"/>
          <w:szCs w:val="22"/>
        </w:rPr>
      </w:pPr>
      <w:r w:rsidRPr="007E0CC2">
        <w:rPr>
          <w:rFonts w:hAnsi="宋体" w:hint="eastAsia"/>
          <w:sz w:val="22"/>
          <w:szCs w:val="28"/>
        </w:rPr>
        <w:t>2</w:t>
      </w:r>
      <w:r w:rsidRPr="007E0CC2">
        <w:rPr>
          <w:rFonts w:hAnsi="宋体" w:hint="eastAsia"/>
          <w:sz w:val="22"/>
          <w:szCs w:val="28"/>
        </w:rPr>
        <w:t>）</w:t>
      </w:r>
      <w:r w:rsidRPr="007E0CC2">
        <w:rPr>
          <w:rFonts w:hAnsi="宋体" w:hint="eastAsia"/>
          <w:sz w:val="22"/>
          <w:szCs w:val="22"/>
        </w:rPr>
        <w:t>销售费用支出的合理性</w:t>
      </w:r>
    </w:p>
    <w:p w:rsidR="00937948" w:rsidRPr="007E0CC2" w:rsidRDefault="00B42FFA" w:rsidP="00937948">
      <w:pPr>
        <w:spacing w:line="360" w:lineRule="auto"/>
        <w:ind w:firstLineChars="200" w:firstLine="440"/>
        <w:rPr>
          <w:rFonts w:hAnsi="宋体"/>
          <w:sz w:val="22"/>
          <w:szCs w:val="22"/>
          <w:u w:val="single"/>
        </w:rPr>
      </w:pPr>
      <w:r w:rsidRPr="007E0CC2">
        <w:rPr>
          <w:rFonts w:hAnsi="宋体" w:hint="eastAsia"/>
          <w:sz w:val="22"/>
          <w:szCs w:val="22"/>
        </w:rPr>
        <w:t>推广</w:t>
      </w:r>
      <w:r w:rsidR="00937948" w:rsidRPr="007E0CC2">
        <w:rPr>
          <w:rFonts w:hAnsi="宋体" w:hint="eastAsia"/>
          <w:sz w:val="22"/>
          <w:szCs w:val="22"/>
        </w:rPr>
        <w:t>销售费用占收入比例较高属于医药行业的普遍现象，而销售费用中主要类别基本为市场费用，根据公开数据显示同行业可比上市公司市场推广类费用占比情况如下：</w:t>
      </w:r>
    </w:p>
    <w:p w:rsidR="00937948" w:rsidRPr="007E0CC2" w:rsidRDefault="00937948" w:rsidP="00937948">
      <w:pPr>
        <w:spacing w:line="360" w:lineRule="exact"/>
        <w:ind w:firstLineChars="200" w:firstLine="440"/>
        <w:jc w:val="right"/>
        <w:rPr>
          <w:rFonts w:hAnsi="宋体"/>
          <w:sz w:val="22"/>
          <w:szCs w:val="22"/>
        </w:rPr>
      </w:pPr>
      <w:r w:rsidRPr="007E0CC2">
        <w:rPr>
          <w:rFonts w:hAnsi="宋体" w:hint="eastAsia"/>
          <w:sz w:val="22"/>
          <w:szCs w:val="22"/>
        </w:rPr>
        <w:t>单位：万元</w:t>
      </w:r>
    </w:p>
    <w:tbl>
      <w:tblPr>
        <w:tblW w:w="8755" w:type="dxa"/>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60"/>
        <w:gridCol w:w="1842"/>
        <w:gridCol w:w="1984"/>
        <w:gridCol w:w="1843"/>
      </w:tblGrid>
      <w:tr w:rsidR="007E0CC2" w:rsidRPr="007E0CC2" w:rsidTr="007F05D8">
        <w:tc>
          <w:tcPr>
            <w:tcW w:w="1526" w:type="dxa"/>
            <w:vAlign w:val="center"/>
          </w:tcPr>
          <w:p w:rsidR="007B07D2" w:rsidRPr="007E0CC2" w:rsidRDefault="007B07D2" w:rsidP="00910203">
            <w:pPr>
              <w:spacing w:line="360" w:lineRule="exact"/>
              <w:jc w:val="center"/>
              <w:rPr>
                <w:rFonts w:hAnsi="宋体"/>
                <w:b/>
                <w:sz w:val="22"/>
                <w:szCs w:val="22"/>
              </w:rPr>
            </w:pPr>
            <w:r w:rsidRPr="007E0CC2">
              <w:rPr>
                <w:rFonts w:hAnsi="宋体" w:hint="eastAsia"/>
                <w:b/>
                <w:sz w:val="22"/>
                <w:szCs w:val="22"/>
              </w:rPr>
              <w:t>公司</w:t>
            </w:r>
          </w:p>
        </w:tc>
        <w:tc>
          <w:tcPr>
            <w:tcW w:w="1560" w:type="dxa"/>
            <w:vAlign w:val="center"/>
          </w:tcPr>
          <w:p w:rsidR="007B07D2" w:rsidRPr="007E0CC2" w:rsidRDefault="007B07D2" w:rsidP="00910203">
            <w:pPr>
              <w:spacing w:line="360" w:lineRule="exact"/>
              <w:jc w:val="center"/>
              <w:rPr>
                <w:rFonts w:hAnsi="宋体"/>
                <w:b/>
                <w:sz w:val="22"/>
                <w:szCs w:val="22"/>
              </w:rPr>
            </w:pPr>
            <w:r w:rsidRPr="007E0CC2">
              <w:rPr>
                <w:rFonts w:hAnsi="宋体" w:hint="eastAsia"/>
                <w:b/>
                <w:sz w:val="22"/>
                <w:szCs w:val="22"/>
              </w:rPr>
              <w:t>2018</w:t>
            </w:r>
            <w:r w:rsidRPr="007E0CC2">
              <w:rPr>
                <w:rFonts w:hAnsi="宋体" w:hint="eastAsia"/>
                <w:b/>
                <w:sz w:val="22"/>
                <w:szCs w:val="22"/>
              </w:rPr>
              <w:t>年销售费用总额</w:t>
            </w:r>
          </w:p>
        </w:tc>
        <w:tc>
          <w:tcPr>
            <w:tcW w:w="1842" w:type="dxa"/>
            <w:vAlign w:val="center"/>
          </w:tcPr>
          <w:p w:rsidR="007B07D2" w:rsidRPr="007E0CC2" w:rsidRDefault="007B07D2" w:rsidP="00910203">
            <w:pPr>
              <w:spacing w:line="360" w:lineRule="exact"/>
              <w:jc w:val="center"/>
              <w:rPr>
                <w:rFonts w:hAnsi="宋体"/>
                <w:b/>
                <w:sz w:val="22"/>
                <w:szCs w:val="22"/>
              </w:rPr>
            </w:pPr>
            <w:r w:rsidRPr="007E0CC2">
              <w:rPr>
                <w:rFonts w:hAnsi="宋体" w:hint="eastAsia"/>
                <w:b/>
                <w:sz w:val="22"/>
                <w:szCs w:val="22"/>
              </w:rPr>
              <w:t>销售费用中市场推广类费用总额</w:t>
            </w:r>
          </w:p>
        </w:tc>
        <w:tc>
          <w:tcPr>
            <w:tcW w:w="1984" w:type="dxa"/>
            <w:vAlign w:val="center"/>
          </w:tcPr>
          <w:p w:rsidR="007B07D2" w:rsidRPr="007E0CC2" w:rsidRDefault="007B07D2" w:rsidP="00910203">
            <w:pPr>
              <w:spacing w:line="360" w:lineRule="exact"/>
              <w:jc w:val="center"/>
              <w:rPr>
                <w:rFonts w:hAnsi="宋体"/>
                <w:b/>
                <w:sz w:val="22"/>
                <w:szCs w:val="22"/>
              </w:rPr>
            </w:pPr>
            <w:r w:rsidRPr="007E0CC2">
              <w:rPr>
                <w:rFonts w:hAnsi="宋体" w:hint="eastAsia"/>
                <w:b/>
                <w:sz w:val="22"/>
                <w:szCs w:val="22"/>
              </w:rPr>
              <w:t>市场推广类费用占销售费用比（</w:t>
            </w:r>
            <w:r w:rsidRPr="007E0CC2">
              <w:rPr>
                <w:rFonts w:hAnsi="宋体" w:hint="eastAsia"/>
                <w:b/>
                <w:sz w:val="22"/>
                <w:szCs w:val="22"/>
              </w:rPr>
              <w:t>%</w:t>
            </w:r>
            <w:r w:rsidRPr="007E0CC2">
              <w:rPr>
                <w:rFonts w:hAnsi="宋体" w:hint="eastAsia"/>
                <w:b/>
                <w:sz w:val="22"/>
                <w:szCs w:val="22"/>
              </w:rPr>
              <w:t>）</w:t>
            </w:r>
          </w:p>
        </w:tc>
        <w:tc>
          <w:tcPr>
            <w:tcW w:w="1843" w:type="dxa"/>
            <w:tcBorders>
              <w:bottom w:val="single" w:sz="4" w:space="0" w:color="auto"/>
            </w:tcBorders>
          </w:tcPr>
          <w:p w:rsidR="007B07D2" w:rsidRPr="007E0CC2" w:rsidRDefault="007B07D2" w:rsidP="00910203">
            <w:pPr>
              <w:spacing w:line="360" w:lineRule="exact"/>
              <w:jc w:val="center"/>
              <w:rPr>
                <w:rFonts w:hAnsi="宋体"/>
                <w:b/>
                <w:sz w:val="22"/>
                <w:szCs w:val="22"/>
              </w:rPr>
            </w:pPr>
            <w:r w:rsidRPr="007E0CC2">
              <w:rPr>
                <w:rFonts w:hAnsi="宋体" w:hint="eastAsia"/>
                <w:b/>
                <w:sz w:val="22"/>
                <w:szCs w:val="22"/>
              </w:rPr>
              <w:t>销售费用占营业收入的比例（</w:t>
            </w:r>
            <w:r w:rsidRPr="007E0CC2">
              <w:rPr>
                <w:rFonts w:hAnsi="宋体" w:hint="eastAsia"/>
                <w:b/>
                <w:sz w:val="22"/>
                <w:szCs w:val="22"/>
              </w:rPr>
              <w:t>%</w:t>
            </w:r>
            <w:r w:rsidRPr="007E0CC2">
              <w:rPr>
                <w:rFonts w:hAnsi="宋体" w:hint="eastAsia"/>
                <w:b/>
                <w:sz w:val="22"/>
                <w:szCs w:val="22"/>
              </w:rPr>
              <w:t>）</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上海医药</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1,105,809.87</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442,608.69</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40.03</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4713D7" w:rsidP="0050269D">
            <w:pPr>
              <w:spacing w:line="360" w:lineRule="exact"/>
              <w:jc w:val="right"/>
            </w:pPr>
            <w:r w:rsidRPr="007E0CC2">
              <w:rPr>
                <w:rFonts w:hint="eastAsia"/>
              </w:rPr>
              <w:t>6.95</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复星医药</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848,753.27</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662,281.77</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78.03</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4713D7" w:rsidP="0050269D">
            <w:pPr>
              <w:spacing w:line="360" w:lineRule="exact"/>
              <w:jc w:val="right"/>
            </w:pPr>
            <w:r w:rsidRPr="007E0CC2">
              <w:rPr>
                <w:rFonts w:hint="eastAsia"/>
              </w:rPr>
              <w:t>34.06</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华润三九</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646,860.64</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500,784.74</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77.42</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48.17</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恒瑞医药</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646,449.10</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542,448.77</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83.91</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37.11</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科伦药业</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598,722.72</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545,142.72</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91.05</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36.62</w:t>
            </w:r>
          </w:p>
        </w:tc>
      </w:tr>
      <w:tr w:rsidR="007E0CC2" w:rsidRPr="007E0CC2" w:rsidTr="007F05D8">
        <w:tc>
          <w:tcPr>
            <w:tcW w:w="1526" w:type="dxa"/>
          </w:tcPr>
          <w:p w:rsidR="004713D7" w:rsidRPr="007E0CC2" w:rsidRDefault="004713D7" w:rsidP="004713D7">
            <w:pPr>
              <w:spacing w:line="360" w:lineRule="exact"/>
              <w:jc w:val="left"/>
              <w:rPr>
                <w:rFonts w:ascii="宋体" w:hAnsi="宋体" w:cs="宋体"/>
                <w:sz w:val="22"/>
                <w:szCs w:val="22"/>
              </w:rPr>
            </w:pPr>
            <w:r w:rsidRPr="007E0CC2">
              <w:rPr>
                <w:rFonts w:hint="eastAsia"/>
              </w:rPr>
              <w:t>中恒集团</w:t>
            </w:r>
          </w:p>
        </w:tc>
        <w:tc>
          <w:tcPr>
            <w:tcW w:w="1560" w:type="dxa"/>
          </w:tcPr>
          <w:p w:rsidR="004713D7" w:rsidRPr="007E0CC2" w:rsidRDefault="004713D7" w:rsidP="004713D7">
            <w:pPr>
              <w:spacing w:line="360" w:lineRule="exact"/>
              <w:jc w:val="right"/>
              <w:rPr>
                <w:rFonts w:ascii="宋体" w:hAnsi="宋体" w:cs="宋体"/>
                <w:sz w:val="22"/>
                <w:szCs w:val="22"/>
              </w:rPr>
            </w:pPr>
            <w:r w:rsidRPr="007E0CC2">
              <w:rPr>
                <w:rFonts w:hint="eastAsia"/>
              </w:rPr>
              <w:t>211,904.00</w:t>
            </w:r>
          </w:p>
        </w:tc>
        <w:tc>
          <w:tcPr>
            <w:tcW w:w="1842" w:type="dxa"/>
          </w:tcPr>
          <w:p w:rsidR="004713D7" w:rsidRPr="007E0CC2" w:rsidRDefault="004713D7" w:rsidP="004713D7">
            <w:pPr>
              <w:spacing w:line="360" w:lineRule="exact"/>
              <w:jc w:val="right"/>
              <w:rPr>
                <w:rFonts w:ascii="宋体" w:hAnsi="宋体" w:cs="宋体"/>
                <w:sz w:val="22"/>
                <w:szCs w:val="22"/>
              </w:rPr>
            </w:pPr>
            <w:r w:rsidRPr="007E0CC2">
              <w:rPr>
                <w:rFonts w:hint="eastAsia"/>
              </w:rPr>
              <w:t>205,766.71</w:t>
            </w:r>
          </w:p>
        </w:tc>
        <w:tc>
          <w:tcPr>
            <w:tcW w:w="1984" w:type="dxa"/>
          </w:tcPr>
          <w:p w:rsidR="004713D7" w:rsidRPr="007E0CC2" w:rsidRDefault="004713D7" w:rsidP="004713D7">
            <w:pPr>
              <w:spacing w:line="360" w:lineRule="exact"/>
              <w:jc w:val="right"/>
              <w:rPr>
                <w:rFonts w:ascii="宋体" w:hAnsi="宋体" w:cs="宋体"/>
                <w:sz w:val="22"/>
                <w:szCs w:val="22"/>
              </w:rPr>
            </w:pPr>
            <w:r w:rsidRPr="007E0CC2">
              <w:rPr>
                <w:rFonts w:hint="eastAsia"/>
              </w:rPr>
              <w:t xml:space="preserve"> 97.10</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64.24</w:t>
            </w:r>
          </w:p>
        </w:tc>
      </w:tr>
      <w:tr w:rsidR="007E0CC2" w:rsidRPr="007E0CC2" w:rsidTr="007F05D8">
        <w:tc>
          <w:tcPr>
            <w:tcW w:w="1526" w:type="dxa"/>
          </w:tcPr>
          <w:p w:rsidR="004713D7" w:rsidRPr="007E0CC2" w:rsidRDefault="004713D7" w:rsidP="004713D7">
            <w:pPr>
              <w:spacing w:line="360" w:lineRule="exact"/>
              <w:jc w:val="left"/>
              <w:rPr>
                <w:sz w:val="22"/>
                <w:szCs w:val="22"/>
              </w:rPr>
            </w:pPr>
            <w:proofErr w:type="gramStart"/>
            <w:r w:rsidRPr="007E0CC2">
              <w:rPr>
                <w:rFonts w:hint="eastAsia"/>
              </w:rPr>
              <w:t>灵康药业</w:t>
            </w:r>
            <w:proofErr w:type="gramEnd"/>
          </w:p>
        </w:tc>
        <w:tc>
          <w:tcPr>
            <w:tcW w:w="1560" w:type="dxa"/>
          </w:tcPr>
          <w:p w:rsidR="004713D7" w:rsidRPr="007E0CC2" w:rsidRDefault="004713D7" w:rsidP="004713D7">
            <w:pPr>
              <w:spacing w:line="360" w:lineRule="exact"/>
              <w:jc w:val="right"/>
              <w:rPr>
                <w:sz w:val="22"/>
                <w:szCs w:val="22"/>
              </w:rPr>
            </w:pPr>
            <w:r w:rsidRPr="007E0CC2">
              <w:rPr>
                <w:rFonts w:hint="eastAsia"/>
              </w:rPr>
              <w:t>121,500.48</w:t>
            </w:r>
          </w:p>
        </w:tc>
        <w:tc>
          <w:tcPr>
            <w:tcW w:w="1842" w:type="dxa"/>
          </w:tcPr>
          <w:p w:rsidR="004713D7" w:rsidRPr="007E0CC2" w:rsidRDefault="004713D7" w:rsidP="004713D7">
            <w:pPr>
              <w:spacing w:line="360" w:lineRule="exact"/>
              <w:jc w:val="right"/>
              <w:rPr>
                <w:sz w:val="22"/>
                <w:szCs w:val="22"/>
              </w:rPr>
            </w:pPr>
            <w:r w:rsidRPr="007E0CC2">
              <w:rPr>
                <w:rFonts w:hint="eastAsia"/>
              </w:rPr>
              <w:t>119,411.67</w:t>
            </w:r>
          </w:p>
        </w:tc>
        <w:tc>
          <w:tcPr>
            <w:tcW w:w="1984" w:type="dxa"/>
          </w:tcPr>
          <w:p w:rsidR="004713D7" w:rsidRPr="007E0CC2" w:rsidRDefault="004713D7" w:rsidP="004713D7">
            <w:pPr>
              <w:spacing w:line="360" w:lineRule="exact"/>
              <w:jc w:val="right"/>
              <w:rPr>
                <w:sz w:val="22"/>
                <w:szCs w:val="22"/>
              </w:rPr>
            </w:pPr>
            <w:r w:rsidRPr="007E0CC2">
              <w:rPr>
                <w:rFonts w:hint="eastAsia"/>
              </w:rPr>
              <w:t xml:space="preserve"> 98.28</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72.78</w:t>
            </w:r>
          </w:p>
        </w:tc>
      </w:tr>
      <w:tr w:rsidR="007E0CC2" w:rsidRPr="007E0CC2" w:rsidTr="007F05D8">
        <w:tc>
          <w:tcPr>
            <w:tcW w:w="1526" w:type="dxa"/>
          </w:tcPr>
          <w:p w:rsidR="004713D7" w:rsidRPr="007E0CC2" w:rsidRDefault="004713D7" w:rsidP="004713D7">
            <w:pPr>
              <w:spacing w:line="360" w:lineRule="exact"/>
              <w:jc w:val="left"/>
              <w:rPr>
                <w:sz w:val="22"/>
                <w:szCs w:val="22"/>
              </w:rPr>
            </w:pPr>
            <w:r w:rsidRPr="007E0CC2">
              <w:rPr>
                <w:rFonts w:hint="eastAsia"/>
              </w:rPr>
              <w:t>大理药业</w:t>
            </w:r>
          </w:p>
        </w:tc>
        <w:tc>
          <w:tcPr>
            <w:tcW w:w="1560" w:type="dxa"/>
          </w:tcPr>
          <w:p w:rsidR="004713D7" w:rsidRPr="007E0CC2" w:rsidRDefault="004713D7" w:rsidP="004713D7">
            <w:pPr>
              <w:spacing w:line="360" w:lineRule="exact"/>
              <w:jc w:val="right"/>
              <w:rPr>
                <w:sz w:val="22"/>
                <w:szCs w:val="22"/>
              </w:rPr>
            </w:pPr>
            <w:r w:rsidRPr="007E0CC2">
              <w:rPr>
                <w:rFonts w:hint="eastAsia"/>
              </w:rPr>
              <w:t>27,091.00</w:t>
            </w:r>
          </w:p>
        </w:tc>
        <w:tc>
          <w:tcPr>
            <w:tcW w:w="1842" w:type="dxa"/>
          </w:tcPr>
          <w:p w:rsidR="004713D7" w:rsidRPr="007E0CC2" w:rsidRDefault="004713D7" w:rsidP="004713D7">
            <w:pPr>
              <w:spacing w:line="360" w:lineRule="exact"/>
              <w:jc w:val="right"/>
              <w:rPr>
                <w:sz w:val="22"/>
                <w:szCs w:val="22"/>
              </w:rPr>
            </w:pPr>
            <w:r w:rsidRPr="007E0CC2">
              <w:rPr>
                <w:rFonts w:hint="eastAsia"/>
              </w:rPr>
              <w:t>25,542.17</w:t>
            </w:r>
          </w:p>
        </w:tc>
        <w:tc>
          <w:tcPr>
            <w:tcW w:w="1984" w:type="dxa"/>
          </w:tcPr>
          <w:p w:rsidR="004713D7" w:rsidRPr="007E0CC2" w:rsidRDefault="004713D7" w:rsidP="004713D7">
            <w:pPr>
              <w:spacing w:line="360" w:lineRule="exact"/>
              <w:jc w:val="right"/>
              <w:rPr>
                <w:sz w:val="22"/>
                <w:szCs w:val="22"/>
              </w:rPr>
            </w:pPr>
            <w:r w:rsidRPr="007E0CC2">
              <w:rPr>
                <w:rFonts w:hint="eastAsia"/>
              </w:rPr>
              <w:t xml:space="preserve"> 94.28</w:t>
            </w:r>
          </w:p>
        </w:tc>
        <w:tc>
          <w:tcPr>
            <w:tcW w:w="1843" w:type="dxa"/>
            <w:tcBorders>
              <w:top w:val="single" w:sz="4" w:space="0" w:color="auto"/>
              <w:left w:val="nil"/>
              <w:bottom w:val="single" w:sz="4" w:space="0" w:color="auto"/>
              <w:right w:val="nil"/>
            </w:tcBorders>
            <w:shd w:val="clear" w:color="auto" w:fill="auto"/>
            <w:vAlign w:val="center"/>
          </w:tcPr>
          <w:p w:rsidR="004713D7" w:rsidRPr="007E0CC2" w:rsidRDefault="007F05D8" w:rsidP="0050269D">
            <w:pPr>
              <w:spacing w:line="360" w:lineRule="exact"/>
              <w:jc w:val="right"/>
            </w:pPr>
            <w:r w:rsidRPr="007E0CC2">
              <w:t>67.48</w:t>
            </w:r>
          </w:p>
        </w:tc>
      </w:tr>
      <w:tr w:rsidR="007E0CC2" w:rsidRPr="007E0CC2" w:rsidTr="007F05D8">
        <w:tc>
          <w:tcPr>
            <w:tcW w:w="1526" w:type="dxa"/>
          </w:tcPr>
          <w:p w:rsidR="004713D7" w:rsidRPr="007E0CC2" w:rsidRDefault="004713D7" w:rsidP="004713D7">
            <w:pPr>
              <w:spacing w:line="360" w:lineRule="exact"/>
              <w:jc w:val="left"/>
              <w:rPr>
                <w:sz w:val="22"/>
                <w:szCs w:val="22"/>
              </w:rPr>
            </w:pPr>
            <w:r w:rsidRPr="007E0CC2">
              <w:rPr>
                <w:rFonts w:hint="eastAsia"/>
              </w:rPr>
              <w:t>步长制药</w:t>
            </w:r>
          </w:p>
        </w:tc>
        <w:tc>
          <w:tcPr>
            <w:tcW w:w="1560" w:type="dxa"/>
          </w:tcPr>
          <w:p w:rsidR="004713D7" w:rsidRPr="007E0CC2" w:rsidRDefault="004713D7" w:rsidP="004713D7">
            <w:pPr>
              <w:spacing w:line="360" w:lineRule="exact"/>
              <w:jc w:val="right"/>
              <w:rPr>
                <w:sz w:val="22"/>
                <w:szCs w:val="22"/>
              </w:rPr>
            </w:pPr>
            <w:r w:rsidRPr="007E0CC2">
              <w:rPr>
                <w:rFonts w:hint="eastAsia"/>
              </w:rPr>
              <w:t>803,578.71</w:t>
            </w:r>
          </w:p>
        </w:tc>
        <w:tc>
          <w:tcPr>
            <w:tcW w:w="1842" w:type="dxa"/>
          </w:tcPr>
          <w:p w:rsidR="004713D7" w:rsidRPr="007E0CC2" w:rsidRDefault="004713D7" w:rsidP="004713D7">
            <w:pPr>
              <w:spacing w:line="360" w:lineRule="exact"/>
              <w:jc w:val="right"/>
              <w:rPr>
                <w:sz w:val="22"/>
                <w:szCs w:val="22"/>
              </w:rPr>
            </w:pPr>
            <w:r w:rsidRPr="007E0CC2">
              <w:rPr>
                <w:rFonts w:hint="eastAsia"/>
              </w:rPr>
              <w:t>748,566.95</w:t>
            </w:r>
          </w:p>
        </w:tc>
        <w:tc>
          <w:tcPr>
            <w:tcW w:w="1984" w:type="dxa"/>
            <w:tcBorders>
              <w:bottom w:val="double" w:sz="4" w:space="0" w:color="auto"/>
            </w:tcBorders>
          </w:tcPr>
          <w:p w:rsidR="004713D7" w:rsidRPr="007E0CC2" w:rsidRDefault="004713D7" w:rsidP="004713D7">
            <w:pPr>
              <w:spacing w:line="360" w:lineRule="exact"/>
              <w:jc w:val="right"/>
              <w:rPr>
                <w:sz w:val="22"/>
                <w:szCs w:val="22"/>
              </w:rPr>
            </w:pPr>
            <w:r w:rsidRPr="007E0CC2">
              <w:rPr>
                <w:rFonts w:hint="eastAsia"/>
              </w:rPr>
              <w:t>93.15</w:t>
            </w:r>
          </w:p>
        </w:tc>
        <w:tc>
          <w:tcPr>
            <w:tcW w:w="1843" w:type="dxa"/>
            <w:tcBorders>
              <w:top w:val="single" w:sz="4" w:space="0" w:color="auto"/>
              <w:left w:val="nil"/>
              <w:bottom w:val="double" w:sz="4" w:space="0" w:color="auto"/>
              <w:right w:val="nil"/>
            </w:tcBorders>
            <w:shd w:val="clear" w:color="auto" w:fill="auto"/>
            <w:vAlign w:val="center"/>
          </w:tcPr>
          <w:p w:rsidR="004713D7" w:rsidRPr="007E0CC2" w:rsidRDefault="007F05D8" w:rsidP="0050269D">
            <w:pPr>
              <w:spacing w:line="360" w:lineRule="exact"/>
              <w:jc w:val="right"/>
            </w:pPr>
            <w:r w:rsidRPr="007E0CC2">
              <w:t>58.81</w:t>
            </w:r>
          </w:p>
        </w:tc>
      </w:tr>
    </w:tbl>
    <w:p w:rsidR="00937948" w:rsidRPr="007E0CC2" w:rsidRDefault="00937948" w:rsidP="00937948">
      <w:pPr>
        <w:spacing w:line="360" w:lineRule="auto"/>
        <w:ind w:firstLineChars="200" w:firstLine="360"/>
        <w:rPr>
          <w:sz w:val="18"/>
          <w:szCs w:val="22"/>
        </w:rPr>
      </w:pPr>
      <w:r w:rsidRPr="007E0CC2">
        <w:rPr>
          <w:sz w:val="18"/>
          <w:szCs w:val="22"/>
        </w:rPr>
        <w:t>注</w:t>
      </w:r>
      <w:r w:rsidRPr="007E0CC2">
        <w:rPr>
          <w:rFonts w:hint="eastAsia"/>
          <w:sz w:val="18"/>
          <w:szCs w:val="22"/>
        </w:rPr>
        <w:t>1</w:t>
      </w:r>
      <w:r w:rsidRPr="007E0CC2">
        <w:rPr>
          <w:rFonts w:hint="eastAsia"/>
          <w:sz w:val="18"/>
          <w:szCs w:val="22"/>
        </w:rPr>
        <w:t>：</w:t>
      </w:r>
      <w:r w:rsidRPr="007E0CC2">
        <w:rPr>
          <w:sz w:val="18"/>
          <w:szCs w:val="22"/>
        </w:rPr>
        <w:t>数据来源于各上市公司</w:t>
      </w:r>
      <w:r w:rsidRPr="007E0CC2">
        <w:rPr>
          <w:rFonts w:hint="eastAsia"/>
          <w:sz w:val="18"/>
          <w:szCs w:val="22"/>
        </w:rPr>
        <w:t>2018</w:t>
      </w:r>
      <w:r w:rsidRPr="007E0CC2">
        <w:rPr>
          <w:rFonts w:hint="eastAsia"/>
          <w:sz w:val="18"/>
          <w:szCs w:val="22"/>
        </w:rPr>
        <w:t>年</w:t>
      </w:r>
      <w:r w:rsidRPr="007E0CC2">
        <w:rPr>
          <w:sz w:val="18"/>
          <w:szCs w:val="22"/>
        </w:rPr>
        <w:t>年度报告</w:t>
      </w:r>
    </w:p>
    <w:p w:rsidR="00937948" w:rsidRPr="007E0CC2" w:rsidRDefault="00937948" w:rsidP="007F05D8">
      <w:pPr>
        <w:spacing w:line="360" w:lineRule="auto"/>
        <w:ind w:firstLineChars="200" w:firstLine="360"/>
        <w:rPr>
          <w:sz w:val="18"/>
          <w:szCs w:val="22"/>
        </w:rPr>
      </w:pPr>
      <w:r w:rsidRPr="007E0CC2">
        <w:rPr>
          <w:sz w:val="18"/>
          <w:szCs w:val="22"/>
        </w:rPr>
        <w:t>注</w:t>
      </w:r>
      <w:r w:rsidRPr="007E0CC2">
        <w:rPr>
          <w:rFonts w:hint="eastAsia"/>
          <w:sz w:val="18"/>
          <w:szCs w:val="22"/>
        </w:rPr>
        <w:t>2</w:t>
      </w:r>
      <w:r w:rsidRPr="007E0CC2">
        <w:rPr>
          <w:rFonts w:hint="eastAsia"/>
          <w:sz w:val="18"/>
          <w:szCs w:val="22"/>
        </w:rPr>
        <w:t>：</w:t>
      </w:r>
      <w:r w:rsidR="00A801A8" w:rsidRPr="007E0CC2">
        <w:rPr>
          <w:rFonts w:hint="eastAsia"/>
          <w:sz w:val="18"/>
          <w:szCs w:val="22"/>
        </w:rPr>
        <w:t>此处同业可比公司，</w:t>
      </w:r>
      <w:r w:rsidR="00592FE9" w:rsidRPr="007E0CC2">
        <w:rPr>
          <w:rFonts w:hint="eastAsia"/>
          <w:sz w:val="18"/>
          <w:szCs w:val="22"/>
        </w:rPr>
        <w:t>公司</w:t>
      </w:r>
      <w:r w:rsidRPr="007E0CC2">
        <w:rPr>
          <w:rFonts w:hint="eastAsia"/>
          <w:sz w:val="18"/>
          <w:szCs w:val="22"/>
        </w:rPr>
        <w:t>选择销售费用规模相近或销售模式相近的上市公司作为可比对象</w:t>
      </w:r>
      <w:r w:rsidR="00592FE9" w:rsidRPr="007E0CC2">
        <w:rPr>
          <w:rFonts w:hint="eastAsia"/>
          <w:sz w:val="18"/>
          <w:szCs w:val="22"/>
        </w:rPr>
        <w:t>，其中上海医药、复星医药、华润三九、恒瑞医药、科伦药业的销售规模与公司相近，而中恒集团、</w:t>
      </w:r>
      <w:proofErr w:type="gramStart"/>
      <w:r w:rsidR="00592FE9" w:rsidRPr="007E0CC2">
        <w:rPr>
          <w:rFonts w:hint="eastAsia"/>
          <w:sz w:val="18"/>
          <w:szCs w:val="22"/>
        </w:rPr>
        <w:t>灵康药业</w:t>
      </w:r>
      <w:proofErr w:type="gramEnd"/>
      <w:r w:rsidR="00592FE9" w:rsidRPr="007E0CC2">
        <w:rPr>
          <w:rFonts w:hint="eastAsia"/>
          <w:sz w:val="18"/>
          <w:szCs w:val="22"/>
        </w:rPr>
        <w:t>、大理药业的营销模式与公司相近</w:t>
      </w:r>
      <w:r w:rsidRPr="007E0CC2">
        <w:rPr>
          <w:rFonts w:hint="eastAsia"/>
          <w:sz w:val="18"/>
          <w:szCs w:val="22"/>
        </w:rPr>
        <w:t>。</w:t>
      </w:r>
      <w:r w:rsidR="0050269D" w:rsidRPr="007E0CC2">
        <w:rPr>
          <w:rFonts w:hint="eastAsia"/>
          <w:sz w:val="18"/>
          <w:szCs w:val="22"/>
        </w:rPr>
        <w:t>公司的销售费用占比在上述可比公司中</w:t>
      </w:r>
      <w:r w:rsidR="007F05D8" w:rsidRPr="007E0CC2">
        <w:rPr>
          <w:rFonts w:hint="eastAsia"/>
          <w:sz w:val="18"/>
          <w:szCs w:val="22"/>
        </w:rPr>
        <w:t>相对</w:t>
      </w:r>
      <w:r w:rsidR="0050269D" w:rsidRPr="007E0CC2">
        <w:rPr>
          <w:rFonts w:hint="eastAsia"/>
          <w:sz w:val="18"/>
          <w:szCs w:val="22"/>
        </w:rPr>
        <w:t>较高，原因是部分可比公司的主营业务中包括了医药流通业务，此类业务的销售费用比医药制造业</w:t>
      </w:r>
      <w:r w:rsidR="007F05D8" w:rsidRPr="007E0CC2">
        <w:rPr>
          <w:rFonts w:hint="eastAsia"/>
          <w:sz w:val="18"/>
          <w:szCs w:val="22"/>
        </w:rPr>
        <w:t>务</w:t>
      </w:r>
      <w:r w:rsidR="0050269D" w:rsidRPr="007E0CC2">
        <w:rPr>
          <w:rFonts w:hint="eastAsia"/>
          <w:sz w:val="18"/>
          <w:szCs w:val="22"/>
        </w:rPr>
        <w:t>更低</w:t>
      </w:r>
      <w:r w:rsidR="007F05D8" w:rsidRPr="007E0CC2">
        <w:rPr>
          <w:rFonts w:hint="eastAsia"/>
          <w:sz w:val="18"/>
          <w:szCs w:val="22"/>
        </w:rPr>
        <w:t>，公司的销售费用占比与营销模式相匹配。</w:t>
      </w:r>
    </w:p>
    <w:p w:rsidR="000D503D" w:rsidRPr="007E0CC2" w:rsidRDefault="005703DE" w:rsidP="00BD099D">
      <w:pPr>
        <w:adjustRightInd w:val="0"/>
        <w:snapToGrid w:val="0"/>
        <w:spacing w:afterLines="50" w:after="156"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（3）说明公司进行市场、学术推广等营销活动及相关费用支出的申请、审批流程及负责人，相关内控制度是否健全并有效执行，公司确保大额销售费用支出的真实性、</w:t>
      </w:r>
      <w:r w:rsidRPr="007E0CC2">
        <w:rPr>
          <w:rFonts w:asciiTheme="minorEastAsia" w:eastAsiaTheme="minorEastAsia" w:hAnsiTheme="minorEastAsia" w:hint="eastAsia"/>
          <w:b/>
          <w:sz w:val="22"/>
          <w:szCs w:val="22"/>
        </w:rPr>
        <w:lastRenderedPageBreak/>
        <w:t>合</w:t>
      </w:r>
      <w:proofErr w:type="gramStart"/>
      <w:r w:rsidRPr="007E0CC2">
        <w:rPr>
          <w:rFonts w:asciiTheme="minorEastAsia" w:eastAsiaTheme="minorEastAsia" w:hAnsiTheme="minorEastAsia" w:hint="eastAsia"/>
          <w:b/>
          <w:sz w:val="22"/>
          <w:szCs w:val="22"/>
        </w:rPr>
        <w:t>规</w:t>
      </w:r>
      <w:proofErr w:type="gramEnd"/>
      <w:r w:rsidRPr="007E0CC2">
        <w:rPr>
          <w:rFonts w:asciiTheme="minorEastAsia" w:eastAsiaTheme="minorEastAsia" w:hAnsiTheme="minorEastAsia" w:hint="eastAsia"/>
          <w:b/>
          <w:sz w:val="22"/>
          <w:szCs w:val="22"/>
        </w:rPr>
        <w:t>性的措施，并自查是否存在相关费用支出违规的问题或风险；</w:t>
      </w:r>
    </w:p>
    <w:p w:rsidR="000D503D" w:rsidRPr="007E0CC2" w:rsidRDefault="00B47A7F" w:rsidP="000D503D">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补充回复</w:t>
      </w:r>
      <w:r w:rsidR="000D503D" w:rsidRPr="007E0CC2">
        <w:rPr>
          <w:rFonts w:asciiTheme="minorEastAsia" w:eastAsiaTheme="minorEastAsia" w:hAnsiTheme="minorEastAsia" w:hint="eastAsia"/>
          <w:b/>
          <w:sz w:val="22"/>
          <w:szCs w:val="22"/>
        </w:rPr>
        <w:t>：</w:t>
      </w:r>
    </w:p>
    <w:p w:rsidR="00937948" w:rsidRPr="007E0CC2" w:rsidRDefault="00937948" w:rsidP="00937948">
      <w:pPr>
        <w:spacing w:line="360" w:lineRule="auto"/>
        <w:ind w:firstLineChars="200" w:firstLine="440"/>
        <w:rPr>
          <w:rFonts w:hAnsi="宋体"/>
          <w:sz w:val="22"/>
          <w:szCs w:val="22"/>
        </w:rPr>
      </w:pPr>
      <w:r w:rsidRPr="007E0CC2">
        <w:rPr>
          <w:rFonts w:hAnsi="宋体" w:hint="eastAsia"/>
          <w:sz w:val="22"/>
          <w:szCs w:val="22"/>
        </w:rPr>
        <w:t>公司对市场、学术推广等营销活动的费用支出有严格的申请、审批等内部控制制度。包括：《步长制药差旅费管理制度》、《步长制药流程审批管理规定》、《步长制药接待工作管理办法》、《步长制药预算管理制度》等。</w:t>
      </w:r>
      <w:r w:rsidR="00B47A7F" w:rsidRPr="007E0CC2">
        <w:rPr>
          <w:rFonts w:hAnsi="宋体" w:hint="eastAsia"/>
          <w:sz w:val="22"/>
          <w:szCs w:val="22"/>
        </w:rPr>
        <w:t>以下为相关费用的审批流程：</w:t>
      </w:r>
    </w:p>
    <w:p w:rsidR="00E5696F" w:rsidRPr="007E0CC2" w:rsidRDefault="0036376E" w:rsidP="00E5696F">
      <w:pPr>
        <w:spacing w:line="360" w:lineRule="auto"/>
        <w:jc w:val="center"/>
        <w:rPr>
          <w:rFonts w:hAnsi="宋体"/>
          <w:sz w:val="22"/>
          <w:szCs w:val="22"/>
          <w:highlight w:val="yellow"/>
        </w:rPr>
      </w:pPr>
      <w:r w:rsidRPr="007E0CC2">
        <w:rPr>
          <w:rFonts w:hAnsi="宋体"/>
          <w:noProof/>
          <w:sz w:val="22"/>
          <w:szCs w:val="22"/>
        </w:rPr>
        <w:drawing>
          <wp:inline distT="0" distB="0" distL="0" distR="0">
            <wp:extent cx="5274310" cy="4542314"/>
            <wp:effectExtent l="0" t="0" r="0" b="0"/>
            <wp:docPr id="2" name="图片 2" descr="C:\Users\lenovo\AppData\Local\Temp\WeChat Files\3a1299d0731812132951ff06f94b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3a1299d0731812132951ff06f94b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542314"/>
                    </a:xfrm>
                    <a:prstGeom prst="rect">
                      <a:avLst/>
                    </a:prstGeom>
                    <a:noFill/>
                    <a:ln>
                      <a:noFill/>
                    </a:ln>
                  </pic:spPr>
                </pic:pic>
              </a:graphicData>
            </a:graphic>
          </wp:inline>
        </w:drawing>
      </w:r>
    </w:p>
    <w:p w:rsidR="0047749F" w:rsidRPr="007E0CC2" w:rsidRDefault="0047749F" w:rsidP="00AF6904">
      <w:pPr>
        <w:adjustRightInd w:val="0"/>
        <w:snapToGrid w:val="0"/>
        <w:spacing w:line="360" w:lineRule="auto"/>
        <w:rPr>
          <w:rFonts w:hAnsi="宋体"/>
          <w:sz w:val="22"/>
          <w:szCs w:val="22"/>
        </w:rPr>
      </w:pPr>
    </w:p>
    <w:p w:rsidR="005125BC" w:rsidRPr="007E0CC2" w:rsidRDefault="00815BD3" w:rsidP="00C202AC">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5.</w:t>
      </w:r>
      <w:r w:rsidR="00A1703B" w:rsidRPr="007E0CC2">
        <w:rPr>
          <w:rFonts w:asciiTheme="minorEastAsia" w:eastAsiaTheme="minorEastAsia" w:hAnsiTheme="minorEastAsia" w:hint="eastAsia"/>
          <w:b/>
          <w:sz w:val="22"/>
          <w:szCs w:val="22"/>
        </w:rPr>
        <w:t>对外投资。</w:t>
      </w:r>
    </w:p>
    <w:p w:rsidR="005125BC" w:rsidRPr="007E0CC2" w:rsidRDefault="00A1703B" w:rsidP="006B0FF5">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（1</w:t>
      </w:r>
      <w:r w:rsidR="000D503D" w:rsidRPr="007E0CC2">
        <w:rPr>
          <w:rFonts w:asciiTheme="minorEastAsia" w:eastAsiaTheme="minorEastAsia" w:hAnsiTheme="minorEastAsia" w:hint="eastAsia"/>
          <w:b/>
          <w:sz w:val="22"/>
          <w:szCs w:val="22"/>
        </w:rPr>
        <w:t>）</w:t>
      </w:r>
      <w:r w:rsidR="0063572A" w:rsidRPr="007E0CC2">
        <w:rPr>
          <w:rFonts w:asciiTheme="minorEastAsia" w:eastAsiaTheme="minorEastAsia" w:hAnsiTheme="minorEastAsia" w:hint="eastAsia"/>
          <w:b/>
          <w:sz w:val="22"/>
          <w:szCs w:val="22"/>
        </w:rPr>
        <w:t>补充对外投资情况</w:t>
      </w:r>
      <w:r w:rsidRPr="007E0CC2">
        <w:rPr>
          <w:rFonts w:asciiTheme="minorEastAsia" w:eastAsiaTheme="minorEastAsia" w:hAnsiTheme="minorEastAsia" w:hint="eastAsia"/>
          <w:b/>
          <w:sz w:val="22"/>
          <w:szCs w:val="22"/>
        </w:rPr>
        <w:t>，包括但不限于投资时间、投资标的、持股比例、主营业务、合作主要股东及是否为关联方、是否存在上市公司为其提供资金或担保的情况及具体金额；</w:t>
      </w:r>
    </w:p>
    <w:p w:rsidR="005125BC" w:rsidRPr="007E0CC2" w:rsidRDefault="00B47A7F" w:rsidP="00870765">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补充回复：</w:t>
      </w:r>
    </w:p>
    <w:p w:rsidR="00592FE9" w:rsidRPr="007E0CC2" w:rsidRDefault="00090BCE" w:rsidP="00B47A7F">
      <w:pPr>
        <w:pStyle w:val="ad"/>
        <w:numPr>
          <w:ilvl w:val="0"/>
          <w:numId w:val="22"/>
        </w:numPr>
        <w:adjustRightInd w:val="0"/>
        <w:snapToGrid w:val="0"/>
        <w:spacing w:line="360" w:lineRule="auto"/>
        <w:ind w:firstLineChars="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公司拟收购</w:t>
      </w:r>
      <w:r w:rsidR="00592FE9" w:rsidRPr="007E0CC2">
        <w:rPr>
          <w:rFonts w:asciiTheme="minorEastAsia" w:eastAsiaTheme="minorEastAsia" w:hAnsiTheme="minorEastAsia" w:hint="eastAsia"/>
          <w:sz w:val="22"/>
          <w:szCs w:val="24"/>
        </w:rPr>
        <w:t>福建新武夷制药股份有限公司</w:t>
      </w:r>
      <w:r w:rsidRPr="007E0CC2">
        <w:rPr>
          <w:rFonts w:asciiTheme="minorEastAsia" w:eastAsiaTheme="minorEastAsia" w:hAnsiTheme="minorEastAsia" w:hint="eastAsia"/>
          <w:sz w:val="22"/>
          <w:szCs w:val="24"/>
        </w:rPr>
        <w:t>（以下简称“福建新武夷”）70%股权</w:t>
      </w:r>
      <w:r w:rsidR="009E52B0" w:rsidRPr="007E0CC2">
        <w:rPr>
          <w:rFonts w:asciiTheme="minorEastAsia" w:eastAsiaTheme="minorEastAsia" w:hAnsiTheme="minorEastAsia" w:hint="eastAsia"/>
          <w:sz w:val="22"/>
          <w:szCs w:val="24"/>
        </w:rPr>
        <w:t>的情况</w:t>
      </w:r>
      <w:r w:rsidRPr="007E0CC2">
        <w:rPr>
          <w:rFonts w:asciiTheme="minorEastAsia" w:eastAsiaTheme="minorEastAsia" w:hAnsiTheme="minorEastAsia" w:hint="eastAsia"/>
          <w:sz w:val="22"/>
          <w:szCs w:val="24"/>
        </w:rPr>
        <w:t>参见公司2</w:t>
      </w:r>
      <w:r w:rsidRPr="007E0CC2">
        <w:rPr>
          <w:rFonts w:asciiTheme="minorEastAsia" w:eastAsiaTheme="minorEastAsia" w:hAnsiTheme="minorEastAsia"/>
          <w:sz w:val="22"/>
          <w:szCs w:val="24"/>
        </w:rPr>
        <w:t>017</w:t>
      </w:r>
      <w:r w:rsidRPr="007E0CC2">
        <w:rPr>
          <w:rFonts w:asciiTheme="minorEastAsia" w:eastAsiaTheme="minorEastAsia" w:hAnsiTheme="minorEastAsia" w:hint="eastAsia"/>
          <w:sz w:val="22"/>
          <w:szCs w:val="24"/>
        </w:rPr>
        <w:t>年1</w:t>
      </w:r>
      <w:r w:rsidRPr="007E0CC2">
        <w:rPr>
          <w:rFonts w:asciiTheme="minorEastAsia" w:eastAsiaTheme="minorEastAsia" w:hAnsiTheme="minorEastAsia"/>
          <w:sz w:val="22"/>
          <w:szCs w:val="24"/>
        </w:rPr>
        <w:t>2</w:t>
      </w:r>
      <w:r w:rsidRPr="007E0CC2">
        <w:rPr>
          <w:rFonts w:asciiTheme="minorEastAsia" w:eastAsiaTheme="minorEastAsia" w:hAnsiTheme="minorEastAsia" w:hint="eastAsia"/>
          <w:sz w:val="22"/>
          <w:szCs w:val="24"/>
        </w:rPr>
        <w:t>月2</w:t>
      </w:r>
      <w:r w:rsidRPr="007E0CC2">
        <w:rPr>
          <w:rFonts w:asciiTheme="minorEastAsia" w:eastAsiaTheme="minorEastAsia" w:hAnsiTheme="minorEastAsia"/>
          <w:sz w:val="22"/>
          <w:szCs w:val="24"/>
        </w:rPr>
        <w:t>1</w:t>
      </w:r>
      <w:r w:rsidRPr="007E0CC2">
        <w:rPr>
          <w:rFonts w:asciiTheme="minorEastAsia" w:eastAsiaTheme="minorEastAsia" w:hAnsiTheme="minorEastAsia" w:hint="eastAsia"/>
          <w:sz w:val="22"/>
          <w:szCs w:val="24"/>
        </w:rPr>
        <w:t>日披露的相关公告（公告编号2</w:t>
      </w:r>
      <w:r w:rsidRPr="007E0CC2">
        <w:rPr>
          <w:rFonts w:asciiTheme="minorEastAsia" w:eastAsiaTheme="minorEastAsia" w:hAnsiTheme="minorEastAsia"/>
          <w:sz w:val="22"/>
          <w:szCs w:val="24"/>
        </w:rPr>
        <w:t>017</w:t>
      </w:r>
      <w:r w:rsidRPr="007E0CC2">
        <w:rPr>
          <w:rFonts w:asciiTheme="minorEastAsia" w:eastAsiaTheme="minorEastAsia" w:hAnsiTheme="minorEastAsia" w:hint="eastAsia"/>
          <w:sz w:val="22"/>
          <w:szCs w:val="24"/>
        </w:rPr>
        <w:t>-</w:t>
      </w:r>
      <w:r w:rsidRPr="007E0CC2">
        <w:rPr>
          <w:rFonts w:asciiTheme="minorEastAsia" w:eastAsiaTheme="minorEastAsia" w:hAnsiTheme="minorEastAsia"/>
          <w:sz w:val="22"/>
          <w:szCs w:val="24"/>
        </w:rPr>
        <w:t>115</w:t>
      </w:r>
      <w:r w:rsidRPr="007E0CC2">
        <w:rPr>
          <w:rFonts w:asciiTheme="minorEastAsia" w:eastAsiaTheme="minorEastAsia" w:hAnsiTheme="minorEastAsia" w:hint="eastAsia"/>
          <w:sz w:val="22"/>
          <w:szCs w:val="24"/>
        </w:rPr>
        <w:t>）。截至本公告披露日，公司对</w:t>
      </w:r>
      <w:proofErr w:type="gramStart"/>
      <w:r w:rsidRPr="007E0CC2">
        <w:rPr>
          <w:rFonts w:asciiTheme="minorEastAsia" w:eastAsiaTheme="minorEastAsia" w:hAnsiTheme="minorEastAsia" w:hint="eastAsia"/>
          <w:sz w:val="22"/>
          <w:szCs w:val="24"/>
        </w:rPr>
        <w:t>福建新武夷</w:t>
      </w:r>
      <w:proofErr w:type="gramEnd"/>
      <w:r w:rsidRPr="007E0CC2">
        <w:rPr>
          <w:rFonts w:asciiTheme="minorEastAsia" w:eastAsiaTheme="minorEastAsia" w:hAnsiTheme="minorEastAsia" w:hint="eastAsia"/>
          <w:sz w:val="22"/>
          <w:szCs w:val="24"/>
        </w:rPr>
        <w:t>70%股权收购尚未签署正式协议，公司具体收购方式尚未确定，最终达成的协议及协议的实施待进一步协商，交易具有</w:t>
      </w:r>
      <w:r w:rsidRPr="007E0CC2">
        <w:rPr>
          <w:rFonts w:asciiTheme="minorEastAsia" w:eastAsiaTheme="minorEastAsia" w:hAnsiTheme="minorEastAsia" w:hint="eastAsia"/>
          <w:sz w:val="22"/>
          <w:szCs w:val="24"/>
        </w:rPr>
        <w:lastRenderedPageBreak/>
        <w:t>一定的不确定性。</w:t>
      </w:r>
    </w:p>
    <w:p w:rsidR="00FD1030" w:rsidRPr="007E0CC2" w:rsidRDefault="00090BCE" w:rsidP="00B47A7F">
      <w:pPr>
        <w:pStyle w:val="ad"/>
        <w:numPr>
          <w:ilvl w:val="0"/>
          <w:numId w:val="22"/>
        </w:numPr>
        <w:adjustRightInd w:val="0"/>
        <w:snapToGrid w:val="0"/>
        <w:spacing w:line="360" w:lineRule="auto"/>
        <w:ind w:firstLineChars="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公司拟</w:t>
      </w:r>
      <w:r w:rsidR="009E52B0" w:rsidRPr="007E0CC2">
        <w:rPr>
          <w:rFonts w:asciiTheme="minorEastAsia" w:eastAsiaTheme="minorEastAsia" w:hAnsiTheme="minorEastAsia" w:hint="eastAsia"/>
          <w:sz w:val="22"/>
          <w:szCs w:val="24"/>
        </w:rPr>
        <w:t>投资辽宁</w:t>
      </w:r>
      <w:proofErr w:type="gramStart"/>
      <w:r w:rsidR="009E52B0" w:rsidRPr="007E0CC2">
        <w:rPr>
          <w:rFonts w:asciiTheme="minorEastAsia" w:eastAsiaTheme="minorEastAsia" w:hAnsiTheme="minorEastAsia" w:hint="eastAsia"/>
          <w:sz w:val="22"/>
          <w:szCs w:val="24"/>
        </w:rPr>
        <w:t>九洲</w:t>
      </w:r>
      <w:proofErr w:type="gramEnd"/>
      <w:r w:rsidR="009E52B0" w:rsidRPr="007E0CC2">
        <w:rPr>
          <w:rFonts w:asciiTheme="minorEastAsia" w:eastAsiaTheme="minorEastAsia" w:hAnsiTheme="minorEastAsia" w:hint="eastAsia"/>
          <w:sz w:val="22"/>
          <w:szCs w:val="24"/>
        </w:rPr>
        <w:t>龙跃药业有限公司（以下简称“</w:t>
      </w:r>
      <w:proofErr w:type="gramStart"/>
      <w:r w:rsidR="009E52B0" w:rsidRPr="007E0CC2">
        <w:rPr>
          <w:rFonts w:asciiTheme="minorEastAsia" w:eastAsiaTheme="minorEastAsia" w:hAnsiTheme="minorEastAsia" w:hint="eastAsia"/>
          <w:sz w:val="22"/>
          <w:szCs w:val="24"/>
        </w:rPr>
        <w:t>九洲</w:t>
      </w:r>
      <w:proofErr w:type="gramEnd"/>
      <w:r w:rsidR="009E52B0" w:rsidRPr="007E0CC2">
        <w:rPr>
          <w:rFonts w:asciiTheme="minorEastAsia" w:eastAsiaTheme="minorEastAsia" w:hAnsiTheme="minorEastAsia" w:hint="eastAsia"/>
          <w:sz w:val="22"/>
          <w:szCs w:val="24"/>
        </w:rPr>
        <w:t>龙跃”），获得其5</w:t>
      </w:r>
      <w:r w:rsidR="009E52B0" w:rsidRPr="007E0CC2">
        <w:rPr>
          <w:rFonts w:asciiTheme="minorEastAsia" w:eastAsiaTheme="minorEastAsia" w:hAnsiTheme="minorEastAsia"/>
          <w:sz w:val="22"/>
          <w:szCs w:val="24"/>
        </w:rPr>
        <w:t>1</w:t>
      </w:r>
      <w:r w:rsidR="009E52B0" w:rsidRPr="007E0CC2">
        <w:rPr>
          <w:rFonts w:asciiTheme="minorEastAsia" w:eastAsiaTheme="minorEastAsia" w:hAnsiTheme="minorEastAsia" w:hint="eastAsia"/>
          <w:sz w:val="22"/>
          <w:szCs w:val="24"/>
        </w:rPr>
        <w:t>%的股权情况参见公司2</w:t>
      </w:r>
      <w:r w:rsidR="009E52B0" w:rsidRPr="007E0CC2">
        <w:rPr>
          <w:rFonts w:asciiTheme="minorEastAsia" w:eastAsiaTheme="minorEastAsia" w:hAnsiTheme="minorEastAsia"/>
          <w:sz w:val="22"/>
          <w:szCs w:val="24"/>
        </w:rPr>
        <w:t>018</w:t>
      </w:r>
      <w:r w:rsidR="009E52B0" w:rsidRPr="007E0CC2">
        <w:rPr>
          <w:rFonts w:asciiTheme="minorEastAsia" w:eastAsiaTheme="minorEastAsia" w:hAnsiTheme="minorEastAsia" w:hint="eastAsia"/>
          <w:sz w:val="22"/>
          <w:szCs w:val="24"/>
        </w:rPr>
        <w:t>年</w:t>
      </w:r>
      <w:r w:rsidR="009E52B0" w:rsidRPr="007E0CC2">
        <w:rPr>
          <w:rFonts w:asciiTheme="minorEastAsia" w:eastAsiaTheme="minorEastAsia" w:hAnsiTheme="minorEastAsia"/>
          <w:sz w:val="22"/>
          <w:szCs w:val="24"/>
        </w:rPr>
        <w:t>5</w:t>
      </w:r>
      <w:r w:rsidR="009E52B0" w:rsidRPr="007E0CC2">
        <w:rPr>
          <w:rFonts w:asciiTheme="minorEastAsia" w:eastAsiaTheme="minorEastAsia" w:hAnsiTheme="minorEastAsia" w:hint="eastAsia"/>
          <w:sz w:val="22"/>
          <w:szCs w:val="24"/>
        </w:rPr>
        <w:t>月</w:t>
      </w:r>
      <w:r w:rsidR="009E52B0" w:rsidRPr="007E0CC2">
        <w:rPr>
          <w:rFonts w:asciiTheme="minorEastAsia" w:eastAsiaTheme="minorEastAsia" w:hAnsiTheme="minorEastAsia"/>
          <w:sz w:val="22"/>
          <w:szCs w:val="24"/>
        </w:rPr>
        <w:t>17</w:t>
      </w:r>
      <w:r w:rsidR="009E52B0" w:rsidRPr="007E0CC2">
        <w:rPr>
          <w:rFonts w:asciiTheme="minorEastAsia" w:eastAsiaTheme="minorEastAsia" w:hAnsiTheme="minorEastAsia" w:hint="eastAsia"/>
          <w:sz w:val="22"/>
          <w:szCs w:val="24"/>
        </w:rPr>
        <w:t>日</w:t>
      </w:r>
      <w:r w:rsidR="00FE3BF8" w:rsidRPr="007E0CC2">
        <w:rPr>
          <w:rFonts w:asciiTheme="minorEastAsia" w:eastAsiaTheme="minorEastAsia" w:hAnsiTheme="minorEastAsia" w:hint="eastAsia"/>
          <w:sz w:val="22"/>
          <w:szCs w:val="24"/>
        </w:rPr>
        <w:t>、2018年5月19日</w:t>
      </w:r>
      <w:r w:rsidR="009E52B0" w:rsidRPr="007E0CC2">
        <w:rPr>
          <w:rFonts w:asciiTheme="minorEastAsia" w:eastAsiaTheme="minorEastAsia" w:hAnsiTheme="minorEastAsia" w:hint="eastAsia"/>
          <w:sz w:val="22"/>
          <w:szCs w:val="24"/>
        </w:rPr>
        <w:t>披露的相关公告（公告编号2</w:t>
      </w:r>
      <w:r w:rsidR="009E52B0" w:rsidRPr="007E0CC2">
        <w:rPr>
          <w:rFonts w:asciiTheme="minorEastAsia" w:eastAsiaTheme="minorEastAsia" w:hAnsiTheme="minorEastAsia"/>
          <w:sz w:val="22"/>
          <w:szCs w:val="24"/>
        </w:rPr>
        <w:t>018</w:t>
      </w:r>
      <w:r w:rsidR="009E52B0" w:rsidRPr="007E0CC2">
        <w:rPr>
          <w:rFonts w:asciiTheme="minorEastAsia" w:eastAsiaTheme="minorEastAsia" w:hAnsiTheme="minorEastAsia" w:hint="eastAsia"/>
          <w:sz w:val="22"/>
          <w:szCs w:val="24"/>
        </w:rPr>
        <w:t>-</w:t>
      </w:r>
      <w:r w:rsidR="009E52B0" w:rsidRPr="007E0CC2">
        <w:rPr>
          <w:rFonts w:asciiTheme="minorEastAsia" w:eastAsiaTheme="minorEastAsia" w:hAnsiTheme="minorEastAsia"/>
          <w:sz w:val="22"/>
          <w:szCs w:val="24"/>
        </w:rPr>
        <w:t>033</w:t>
      </w:r>
      <w:r w:rsidR="00FE3BF8" w:rsidRPr="007E0CC2">
        <w:rPr>
          <w:rFonts w:asciiTheme="minorEastAsia" w:eastAsiaTheme="minorEastAsia" w:hAnsiTheme="minorEastAsia" w:hint="eastAsia"/>
          <w:sz w:val="22"/>
          <w:szCs w:val="24"/>
        </w:rPr>
        <w:t>、2018-035</w:t>
      </w:r>
      <w:r w:rsidR="009E52B0" w:rsidRPr="007E0CC2">
        <w:rPr>
          <w:rFonts w:asciiTheme="minorEastAsia" w:eastAsiaTheme="minorEastAsia" w:hAnsiTheme="minorEastAsia" w:hint="eastAsia"/>
          <w:sz w:val="22"/>
          <w:szCs w:val="24"/>
        </w:rPr>
        <w:t>）。截至本公告披露日，公司对</w:t>
      </w:r>
      <w:proofErr w:type="gramStart"/>
      <w:r w:rsidR="009E52B0" w:rsidRPr="007E0CC2">
        <w:rPr>
          <w:rFonts w:asciiTheme="minorEastAsia" w:eastAsiaTheme="minorEastAsia" w:hAnsiTheme="minorEastAsia" w:hint="eastAsia"/>
          <w:sz w:val="22"/>
          <w:szCs w:val="24"/>
        </w:rPr>
        <w:t>九洲</w:t>
      </w:r>
      <w:proofErr w:type="gramEnd"/>
      <w:r w:rsidR="009E52B0" w:rsidRPr="007E0CC2">
        <w:rPr>
          <w:rFonts w:asciiTheme="minorEastAsia" w:eastAsiaTheme="minorEastAsia" w:hAnsiTheme="minorEastAsia" w:hint="eastAsia"/>
          <w:sz w:val="22"/>
          <w:szCs w:val="24"/>
        </w:rPr>
        <w:t>龙跃的对外投资尚未签署正式协议，公司具体交易方式尚未确定，最终达成的协议及协议的实施待进一步协商，交易具有一定的不确定性。</w:t>
      </w:r>
    </w:p>
    <w:p w:rsidR="00BE02B0" w:rsidRPr="007E0CC2" w:rsidRDefault="000D503D" w:rsidP="00870765">
      <w:pPr>
        <w:pStyle w:val="ad"/>
        <w:numPr>
          <w:ilvl w:val="0"/>
          <w:numId w:val="22"/>
        </w:numPr>
        <w:adjustRightInd w:val="0"/>
        <w:snapToGrid w:val="0"/>
        <w:spacing w:line="360" w:lineRule="auto"/>
        <w:ind w:firstLineChars="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截至</w:t>
      </w:r>
      <w:r w:rsidRPr="007E0CC2">
        <w:rPr>
          <w:rFonts w:asciiTheme="minorEastAsia" w:eastAsiaTheme="minorEastAsia" w:hAnsiTheme="minorEastAsia"/>
          <w:sz w:val="22"/>
          <w:szCs w:val="24"/>
        </w:rPr>
        <w:t>本公告披露日</w:t>
      </w:r>
      <w:r w:rsidR="00156D7B" w:rsidRPr="007E0CC2">
        <w:rPr>
          <w:rFonts w:asciiTheme="minorEastAsia" w:eastAsiaTheme="minorEastAsia" w:hAnsiTheme="minorEastAsia" w:hint="eastAsia"/>
          <w:sz w:val="22"/>
          <w:szCs w:val="24"/>
        </w:rPr>
        <w:t>，</w:t>
      </w:r>
      <w:r w:rsidR="00B47A7F" w:rsidRPr="007E0CC2">
        <w:rPr>
          <w:rFonts w:asciiTheme="minorEastAsia" w:eastAsiaTheme="minorEastAsia" w:hAnsiTheme="minorEastAsia" w:hint="eastAsia"/>
          <w:sz w:val="22"/>
          <w:szCs w:val="24"/>
        </w:rPr>
        <w:t>除</w:t>
      </w:r>
      <w:proofErr w:type="gramStart"/>
      <w:r w:rsidR="00B47A7F" w:rsidRPr="007E0CC2">
        <w:rPr>
          <w:rFonts w:asciiTheme="minorEastAsia" w:eastAsiaTheme="minorEastAsia" w:hAnsiTheme="minorEastAsia" w:hint="eastAsia"/>
          <w:sz w:val="22"/>
          <w:szCs w:val="24"/>
        </w:rPr>
        <w:t>福建新武夷</w:t>
      </w:r>
      <w:proofErr w:type="gramEnd"/>
      <w:r w:rsidR="00B47A7F" w:rsidRPr="007E0CC2">
        <w:rPr>
          <w:rFonts w:asciiTheme="minorEastAsia" w:eastAsiaTheme="minorEastAsia" w:hAnsiTheme="minorEastAsia" w:hint="eastAsia"/>
          <w:sz w:val="22"/>
          <w:szCs w:val="24"/>
        </w:rPr>
        <w:t>及</w:t>
      </w:r>
      <w:proofErr w:type="gramStart"/>
      <w:r w:rsidR="00B47A7F" w:rsidRPr="007E0CC2">
        <w:rPr>
          <w:rFonts w:asciiTheme="minorEastAsia" w:eastAsiaTheme="minorEastAsia" w:hAnsiTheme="minorEastAsia" w:hint="eastAsia"/>
          <w:sz w:val="22"/>
          <w:szCs w:val="24"/>
        </w:rPr>
        <w:t>九洲龙跃外其他</w:t>
      </w:r>
      <w:proofErr w:type="gramEnd"/>
      <w:r w:rsidR="00870765" w:rsidRPr="007E0CC2">
        <w:rPr>
          <w:rFonts w:asciiTheme="minorEastAsia" w:eastAsiaTheme="minorEastAsia" w:hAnsiTheme="minorEastAsia" w:hint="eastAsia"/>
          <w:sz w:val="22"/>
          <w:szCs w:val="24"/>
        </w:rPr>
        <w:t>对外投资</w:t>
      </w:r>
      <w:r w:rsidR="00BE02B0" w:rsidRPr="007E0CC2">
        <w:rPr>
          <w:rFonts w:asciiTheme="minorEastAsia" w:eastAsiaTheme="minorEastAsia" w:hAnsiTheme="minorEastAsia"/>
          <w:sz w:val="22"/>
          <w:szCs w:val="24"/>
        </w:rPr>
        <w:t>情况</w:t>
      </w:r>
      <w:r w:rsidRPr="007E0CC2">
        <w:rPr>
          <w:rFonts w:asciiTheme="minorEastAsia" w:eastAsiaTheme="minorEastAsia" w:hAnsiTheme="minorEastAsia"/>
          <w:sz w:val="22"/>
          <w:szCs w:val="24"/>
        </w:rPr>
        <w:t>补充</w:t>
      </w:r>
      <w:r w:rsidRPr="007E0CC2">
        <w:rPr>
          <w:rFonts w:asciiTheme="minorEastAsia" w:eastAsiaTheme="minorEastAsia" w:hAnsiTheme="minorEastAsia" w:hint="eastAsia"/>
          <w:sz w:val="22"/>
          <w:szCs w:val="24"/>
        </w:rPr>
        <w:t>：</w:t>
      </w:r>
    </w:p>
    <w:tbl>
      <w:tblPr>
        <w:tblStyle w:val="a7"/>
        <w:tblW w:w="11057" w:type="dxa"/>
        <w:tblInd w:w="-1281"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850"/>
        <w:gridCol w:w="1560"/>
        <w:gridCol w:w="1418"/>
        <w:gridCol w:w="992"/>
        <w:gridCol w:w="2693"/>
        <w:gridCol w:w="1560"/>
        <w:gridCol w:w="708"/>
        <w:gridCol w:w="1276"/>
      </w:tblGrid>
      <w:tr w:rsidR="007E0CC2" w:rsidRPr="007E0CC2" w:rsidTr="004C7F8F">
        <w:tc>
          <w:tcPr>
            <w:tcW w:w="850" w:type="dxa"/>
            <w:vMerge w:val="restart"/>
            <w:vAlign w:val="center"/>
          </w:tcPr>
          <w:p w:rsidR="00870765" w:rsidRPr="007E0CC2" w:rsidRDefault="00870765" w:rsidP="00870765">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b/>
                <w:sz w:val="18"/>
                <w:szCs w:val="18"/>
              </w:rPr>
              <w:t>序号</w:t>
            </w:r>
          </w:p>
        </w:tc>
        <w:tc>
          <w:tcPr>
            <w:tcW w:w="1560" w:type="dxa"/>
            <w:vMerge w:val="restart"/>
            <w:vAlign w:val="center"/>
          </w:tcPr>
          <w:p w:rsidR="00870765" w:rsidRPr="007E0CC2" w:rsidRDefault="00870765" w:rsidP="00870765">
            <w:pPr>
              <w:adjustRightInd w:val="0"/>
              <w:snapToGrid w:val="0"/>
              <w:spacing w:line="360" w:lineRule="auto"/>
              <w:jc w:val="center"/>
              <w:rPr>
                <w:rFonts w:asciiTheme="minorEastAsia" w:eastAsiaTheme="minorEastAsia" w:hAnsiTheme="minorEastAsia"/>
                <w:sz w:val="22"/>
                <w:szCs w:val="24"/>
                <w:u w:val="single"/>
              </w:rPr>
            </w:pPr>
            <w:r w:rsidRPr="007E0CC2">
              <w:rPr>
                <w:b/>
                <w:sz w:val="18"/>
                <w:szCs w:val="18"/>
              </w:rPr>
              <w:t>正式协议签署时间</w:t>
            </w:r>
          </w:p>
        </w:tc>
        <w:tc>
          <w:tcPr>
            <w:tcW w:w="1418" w:type="dxa"/>
            <w:vMerge w:val="restart"/>
            <w:vAlign w:val="center"/>
          </w:tcPr>
          <w:p w:rsidR="00870765" w:rsidRPr="007E0CC2" w:rsidRDefault="00870765" w:rsidP="00870765">
            <w:pPr>
              <w:adjustRightInd w:val="0"/>
              <w:snapToGrid w:val="0"/>
              <w:spacing w:line="360" w:lineRule="auto"/>
              <w:jc w:val="center"/>
              <w:rPr>
                <w:rFonts w:asciiTheme="minorEastAsia" w:eastAsiaTheme="minorEastAsia" w:hAnsiTheme="minorEastAsia"/>
                <w:sz w:val="22"/>
                <w:szCs w:val="24"/>
                <w:u w:val="single"/>
              </w:rPr>
            </w:pPr>
            <w:r w:rsidRPr="007E0CC2">
              <w:rPr>
                <w:b/>
                <w:sz w:val="18"/>
                <w:szCs w:val="18"/>
              </w:rPr>
              <w:t>投资标的</w:t>
            </w:r>
          </w:p>
        </w:tc>
        <w:tc>
          <w:tcPr>
            <w:tcW w:w="992" w:type="dxa"/>
            <w:vMerge w:val="restart"/>
            <w:vAlign w:val="center"/>
          </w:tcPr>
          <w:p w:rsidR="00870765" w:rsidRPr="007E0CC2" w:rsidRDefault="00870765" w:rsidP="00870765">
            <w:pPr>
              <w:adjustRightInd w:val="0"/>
              <w:snapToGrid w:val="0"/>
              <w:spacing w:line="360" w:lineRule="auto"/>
              <w:jc w:val="center"/>
              <w:rPr>
                <w:rFonts w:asciiTheme="minorEastAsia" w:eastAsiaTheme="minorEastAsia" w:hAnsiTheme="minorEastAsia"/>
                <w:sz w:val="22"/>
                <w:szCs w:val="24"/>
                <w:u w:val="single"/>
              </w:rPr>
            </w:pPr>
            <w:r w:rsidRPr="007E0CC2">
              <w:rPr>
                <w:b/>
                <w:sz w:val="18"/>
                <w:szCs w:val="18"/>
              </w:rPr>
              <w:t>持股比例</w:t>
            </w:r>
          </w:p>
        </w:tc>
        <w:tc>
          <w:tcPr>
            <w:tcW w:w="2693" w:type="dxa"/>
            <w:vMerge w:val="restart"/>
            <w:vAlign w:val="center"/>
          </w:tcPr>
          <w:p w:rsidR="00870765" w:rsidRPr="007E0CC2" w:rsidRDefault="00870765" w:rsidP="00870765">
            <w:pPr>
              <w:adjustRightInd w:val="0"/>
              <w:snapToGrid w:val="0"/>
              <w:spacing w:line="360" w:lineRule="auto"/>
              <w:jc w:val="center"/>
              <w:rPr>
                <w:b/>
                <w:sz w:val="18"/>
                <w:szCs w:val="18"/>
              </w:rPr>
            </w:pPr>
            <w:r w:rsidRPr="007E0CC2">
              <w:rPr>
                <w:b/>
                <w:sz w:val="18"/>
                <w:szCs w:val="18"/>
              </w:rPr>
              <w:t>主营业务</w:t>
            </w:r>
          </w:p>
        </w:tc>
        <w:tc>
          <w:tcPr>
            <w:tcW w:w="3544" w:type="dxa"/>
            <w:gridSpan w:val="3"/>
            <w:vAlign w:val="center"/>
          </w:tcPr>
          <w:p w:rsidR="00870765" w:rsidRPr="007E0CC2" w:rsidRDefault="00870765" w:rsidP="00870765">
            <w:pPr>
              <w:adjustRightInd w:val="0"/>
              <w:snapToGrid w:val="0"/>
              <w:spacing w:line="360" w:lineRule="auto"/>
              <w:jc w:val="center"/>
              <w:rPr>
                <w:b/>
                <w:sz w:val="18"/>
                <w:szCs w:val="18"/>
              </w:rPr>
            </w:pPr>
            <w:r w:rsidRPr="007E0CC2">
              <w:rPr>
                <w:rFonts w:hint="eastAsia"/>
                <w:b/>
                <w:sz w:val="18"/>
                <w:szCs w:val="18"/>
              </w:rPr>
              <w:t>合作</w:t>
            </w:r>
            <w:proofErr w:type="gramStart"/>
            <w:r w:rsidRPr="007E0CC2">
              <w:rPr>
                <w:rFonts w:hint="eastAsia"/>
                <w:b/>
                <w:sz w:val="18"/>
                <w:szCs w:val="18"/>
              </w:rPr>
              <w:t>方情况</w:t>
            </w:r>
            <w:proofErr w:type="gramEnd"/>
          </w:p>
        </w:tc>
      </w:tr>
      <w:tr w:rsidR="007E0CC2" w:rsidRPr="007E0CC2" w:rsidTr="004C7F8F">
        <w:tc>
          <w:tcPr>
            <w:tcW w:w="850" w:type="dxa"/>
            <w:vMerge/>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p>
        </w:tc>
        <w:tc>
          <w:tcPr>
            <w:tcW w:w="1560" w:type="dxa"/>
            <w:vMerge/>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p>
        </w:tc>
        <w:tc>
          <w:tcPr>
            <w:tcW w:w="1418" w:type="dxa"/>
            <w:vMerge/>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p>
        </w:tc>
        <w:tc>
          <w:tcPr>
            <w:tcW w:w="992" w:type="dxa"/>
            <w:vMerge/>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p>
        </w:tc>
        <w:tc>
          <w:tcPr>
            <w:tcW w:w="2693" w:type="dxa"/>
            <w:vMerge/>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p>
        </w:tc>
        <w:tc>
          <w:tcPr>
            <w:tcW w:w="1560" w:type="dxa"/>
            <w:vAlign w:val="center"/>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r w:rsidRPr="007E0CC2">
              <w:rPr>
                <w:b/>
                <w:sz w:val="18"/>
                <w:szCs w:val="18"/>
              </w:rPr>
              <w:t>合作主要股东</w:t>
            </w:r>
          </w:p>
        </w:tc>
        <w:tc>
          <w:tcPr>
            <w:tcW w:w="708" w:type="dxa"/>
            <w:vAlign w:val="center"/>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r w:rsidRPr="007E0CC2">
              <w:rPr>
                <w:b/>
                <w:sz w:val="18"/>
                <w:szCs w:val="18"/>
              </w:rPr>
              <w:t>是否为关联方</w:t>
            </w:r>
          </w:p>
        </w:tc>
        <w:tc>
          <w:tcPr>
            <w:tcW w:w="1276" w:type="dxa"/>
            <w:vAlign w:val="center"/>
          </w:tcPr>
          <w:p w:rsidR="00870765" w:rsidRPr="007E0CC2" w:rsidRDefault="00870765" w:rsidP="00870765">
            <w:pPr>
              <w:adjustRightInd w:val="0"/>
              <w:snapToGrid w:val="0"/>
              <w:spacing w:line="360" w:lineRule="auto"/>
              <w:rPr>
                <w:rFonts w:asciiTheme="minorEastAsia" w:eastAsiaTheme="minorEastAsia" w:hAnsiTheme="minorEastAsia"/>
                <w:sz w:val="22"/>
                <w:szCs w:val="24"/>
                <w:u w:val="single"/>
              </w:rPr>
            </w:pPr>
            <w:r w:rsidRPr="007E0CC2">
              <w:rPr>
                <w:b/>
                <w:sz w:val="18"/>
                <w:szCs w:val="18"/>
              </w:rPr>
              <w:t>是否存在上市公司为其提供资金或担保的情况及具体金额</w:t>
            </w:r>
          </w:p>
        </w:tc>
      </w:tr>
      <w:tr w:rsidR="007E0CC2" w:rsidRPr="007E0CC2" w:rsidTr="004C7F8F">
        <w:tc>
          <w:tcPr>
            <w:tcW w:w="850"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b/>
                <w:sz w:val="22"/>
                <w:szCs w:val="24"/>
                <w:u w:val="single"/>
              </w:rPr>
            </w:pPr>
            <w:r w:rsidRPr="007E0CC2">
              <w:rPr>
                <w:rFonts w:hint="eastAsia"/>
                <w:b/>
                <w:sz w:val="18"/>
                <w:szCs w:val="18"/>
              </w:rPr>
              <w:t>1</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2017</w:t>
            </w:r>
            <w:r w:rsidRPr="007E0CC2">
              <w:rPr>
                <w:rFonts w:hint="eastAsia"/>
              </w:rPr>
              <w:t>年</w:t>
            </w:r>
            <w:r w:rsidRPr="007E0CC2">
              <w:rPr>
                <w:rFonts w:hint="eastAsia"/>
              </w:rPr>
              <w:t>9</w:t>
            </w:r>
            <w:r w:rsidRPr="007E0CC2">
              <w:rPr>
                <w:rFonts w:hint="eastAsia"/>
              </w:rPr>
              <w:t>月</w:t>
            </w:r>
            <w:r w:rsidRPr="007E0CC2">
              <w:rPr>
                <w:rFonts w:hint="eastAsia"/>
              </w:rPr>
              <w:t>4</w:t>
            </w:r>
            <w:r w:rsidRPr="007E0CC2">
              <w:rPr>
                <w:rFonts w:hint="eastAsia"/>
              </w:rPr>
              <w:t>日</w:t>
            </w:r>
          </w:p>
        </w:tc>
        <w:tc>
          <w:tcPr>
            <w:tcW w:w="1418"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武汉瑞伏医疗健康股权投资合伙企业（有限合伙）</w:t>
            </w:r>
          </w:p>
        </w:tc>
        <w:tc>
          <w:tcPr>
            <w:tcW w:w="992" w:type="dxa"/>
            <w:vAlign w:val="center"/>
          </w:tcPr>
          <w:p w:rsidR="00BA0487" w:rsidRPr="007E0CC2" w:rsidRDefault="00BA0487" w:rsidP="00A46EF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31.35%</w:t>
            </w:r>
          </w:p>
        </w:tc>
        <w:tc>
          <w:tcPr>
            <w:tcW w:w="2693"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从事非证券类股权投资，主要投资于对具有高发展潜力的生物医药、医疗器械及相关领域的创新型初创及成长阶段的企业以及普通合伙人认为符合合伙企业利益的其他投资机会</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浙江龙盛集团股份有限公司、丁轶群</w:t>
            </w:r>
          </w:p>
        </w:tc>
        <w:tc>
          <w:tcPr>
            <w:tcW w:w="708"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c>
          <w:tcPr>
            <w:tcW w:w="1276"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r>
      <w:tr w:rsidR="007E0CC2" w:rsidRPr="007E0CC2" w:rsidTr="004C7F8F">
        <w:tc>
          <w:tcPr>
            <w:tcW w:w="850"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b/>
                <w:sz w:val="22"/>
                <w:szCs w:val="24"/>
                <w:u w:val="single"/>
              </w:rPr>
            </w:pPr>
            <w:r w:rsidRPr="007E0CC2">
              <w:rPr>
                <w:rFonts w:hint="eastAsia"/>
                <w:b/>
                <w:sz w:val="18"/>
                <w:szCs w:val="18"/>
              </w:rPr>
              <w:t>2</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2018</w:t>
            </w:r>
            <w:r w:rsidRPr="007E0CC2">
              <w:rPr>
                <w:rFonts w:hint="eastAsia"/>
              </w:rPr>
              <w:t>年</w:t>
            </w:r>
            <w:r w:rsidRPr="007E0CC2">
              <w:rPr>
                <w:rFonts w:hint="eastAsia"/>
              </w:rPr>
              <w:t>10</w:t>
            </w:r>
            <w:r w:rsidRPr="007E0CC2">
              <w:rPr>
                <w:rFonts w:hint="eastAsia"/>
              </w:rPr>
              <w:t>月</w:t>
            </w:r>
            <w:r w:rsidRPr="007E0CC2">
              <w:rPr>
                <w:rFonts w:hint="eastAsia"/>
              </w:rPr>
              <w:t>11</w:t>
            </w:r>
            <w:r w:rsidRPr="007E0CC2">
              <w:rPr>
                <w:rFonts w:hint="eastAsia"/>
              </w:rPr>
              <w:t>日</w:t>
            </w:r>
          </w:p>
        </w:tc>
        <w:tc>
          <w:tcPr>
            <w:tcW w:w="1418"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苏州</w:t>
            </w:r>
            <w:proofErr w:type="gramStart"/>
            <w:r w:rsidRPr="007E0CC2">
              <w:rPr>
                <w:rFonts w:hint="eastAsia"/>
              </w:rPr>
              <w:t>盛涛医疗</w:t>
            </w:r>
            <w:proofErr w:type="gramEnd"/>
            <w:r w:rsidRPr="007E0CC2">
              <w:rPr>
                <w:rFonts w:hint="eastAsia"/>
              </w:rPr>
              <w:t>投资合伙企业（有限合伙）</w:t>
            </w:r>
          </w:p>
        </w:tc>
        <w:tc>
          <w:tcPr>
            <w:tcW w:w="992" w:type="dxa"/>
            <w:vAlign w:val="center"/>
          </w:tcPr>
          <w:p w:rsidR="00BA0487" w:rsidRPr="007E0CC2" w:rsidRDefault="00BA0487" w:rsidP="00A46EF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19%</w:t>
            </w:r>
          </w:p>
        </w:tc>
        <w:tc>
          <w:tcPr>
            <w:tcW w:w="2693"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生物医药、医疗器械（体外诊断和基因技术、微创介入、植入器械、微创外科器械及医疗机器人）、医疗服务等早期和成长期医疗健康产业投资</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中金启元国家新兴产业创业投资引导基金（有限合伙）、杭州通途实业有限公司</w:t>
            </w:r>
          </w:p>
        </w:tc>
        <w:tc>
          <w:tcPr>
            <w:tcW w:w="708"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c>
          <w:tcPr>
            <w:tcW w:w="1276"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r>
      <w:tr w:rsidR="007E0CC2" w:rsidRPr="007E0CC2" w:rsidTr="004C7F8F">
        <w:tc>
          <w:tcPr>
            <w:tcW w:w="850"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b/>
                <w:sz w:val="22"/>
                <w:szCs w:val="24"/>
                <w:u w:val="single"/>
              </w:rPr>
            </w:pPr>
            <w:r w:rsidRPr="007E0CC2">
              <w:rPr>
                <w:rFonts w:hint="eastAsia"/>
                <w:b/>
                <w:sz w:val="18"/>
                <w:szCs w:val="18"/>
              </w:rPr>
              <w:t>3</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2019</w:t>
            </w:r>
            <w:r w:rsidRPr="007E0CC2">
              <w:rPr>
                <w:rFonts w:hint="eastAsia"/>
              </w:rPr>
              <w:t>年</w:t>
            </w:r>
            <w:r w:rsidRPr="007E0CC2">
              <w:rPr>
                <w:rFonts w:hint="eastAsia"/>
              </w:rPr>
              <w:t>1</w:t>
            </w:r>
            <w:r w:rsidRPr="007E0CC2">
              <w:rPr>
                <w:rFonts w:hint="eastAsia"/>
              </w:rPr>
              <w:t>月</w:t>
            </w:r>
            <w:r w:rsidRPr="007E0CC2">
              <w:rPr>
                <w:rFonts w:hint="eastAsia"/>
              </w:rPr>
              <w:t>29</w:t>
            </w:r>
            <w:r w:rsidRPr="007E0CC2">
              <w:rPr>
                <w:rFonts w:hint="eastAsia"/>
              </w:rPr>
              <w:t>日</w:t>
            </w:r>
          </w:p>
        </w:tc>
        <w:tc>
          <w:tcPr>
            <w:tcW w:w="1418"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重庆市</w:t>
            </w:r>
            <w:proofErr w:type="gramStart"/>
            <w:r w:rsidRPr="007E0CC2">
              <w:rPr>
                <w:rFonts w:hint="eastAsia"/>
              </w:rPr>
              <w:t>医</w:t>
            </w:r>
            <w:proofErr w:type="gramEnd"/>
            <w:r w:rsidRPr="007E0CC2">
              <w:rPr>
                <w:rFonts w:hint="eastAsia"/>
              </w:rPr>
              <w:t>济堂生物制品有限公司</w:t>
            </w:r>
          </w:p>
        </w:tc>
        <w:tc>
          <w:tcPr>
            <w:tcW w:w="992" w:type="dxa"/>
            <w:vAlign w:val="center"/>
          </w:tcPr>
          <w:p w:rsidR="00BA0487" w:rsidRPr="007E0CC2" w:rsidRDefault="00BA0487" w:rsidP="00A46EF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80%</w:t>
            </w:r>
          </w:p>
        </w:tc>
        <w:tc>
          <w:tcPr>
            <w:tcW w:w="2693"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生产、销售卫生用品</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刘莉、林良志、刘一敬</w:t>
            </w:r>
          </w:p>
        </w:tc>
        <w:tc>
          <w:tcPr>
            <w:tcW w:w="708"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c>
          <w:tcPr>
            <w:tcW w:w="1276"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r>
      <w:tr w:rsidR="007E0CC2" w:rsidRPr="007E0CC2" w:rsidTr="004C7F8F">
        <w:tc>
          <w:tcPr>
            <w:tcW w:w="850"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b/>
                <w:sz w:val="22"/>
                <w:szCs w:val="24"/>
                <w:u w:val="single"/>
              </w:rPr>
            </w:pPr>
            <w:r w:rsidRPr="007E0CC2">
              <w:rPr>
                <w:rFonts w:hint="eastAsia"/>
                <w:b/>
                <w:sz w:val="18"/>
                <w:szCs w:val="18"/>
              </w:rPr>
              <w:t>4</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2019</w:t>
            </w:r>
            <w:r w:rsidRPr="007E0CC2">
              <w:rPr>
                <w:rFonts w:hint="eastAsia"/>
              </w:rPr>
              <w:t>年</w:t>
            </w:r>
            <w:r w:rsidRPr="007E0CC2">
              <w:rPr>
                <w:rFonts w:hint="eastAsia"/>
              </w:rPr>
              <w:t>1</w:t>
            </w:r>
            <w:r w:rsidRPr="007E0CC2">
              <w:rPr>
                <w:rFonts w:hint="eastAsia"/>
              </w:rPr>
              <w:t>月</w:t>
            </w:r>
            <w:r w:rsidRPr="007E0CC2">
              <w:rPr>
                <w:rFonts w:hint="eastAsia"/>
              </w:rPr>
              <w:t>29</w:t>
            </w:r>
            <w:r w:rsidRPr="007E0CC2">
              <w:rPr>
                <w:rFonts w:hint="eastAsia"/>
              </w:rPr>
              <w:t>日</w:t>
            </w:r>
          </w:p>
        </w:tc>
        <w:tc>
          <w:tcPr>
            <w:tcW w:w="1418"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重庆市汉通生物科技有限公司</w:t>
            </w:r>
          </w:p>
        </w:tc>
        <w:tc>
          <w:tcPr>
            <w:tcW w:w="992" w:type="dxa"/>
            <w:vAlign w:val="center"/>
          </w:tcPr>
          <w:p w:rsidR="00BA0487" w:rsidRPr="007E0CC2" w:rsidRDefault="00BA0487" w:rsidP="00A46EF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80%</w:t>
            </w:r>
          </w:p>
        </w:tc>
        <w:tc>
          <w:tcPr>
            <w:tcW w:w="2693"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生产、销售卫生用品</w:t>
            </w:r>
          </w:p>
        </w:tc>
        <w:tc>
          <w:tcPr>
            <w:tcW w:w="1560" w:type="dxa"/>
            <w:vAlign w:val="center"/>
          </w:tcPr>
          <w:p w:rsidR="00BA0487" w:rsidRPr="007E0CC2" w:rsidRDefault="00BA0487" w:rsidP="00BA0487">
            <w:pPr>
              <w:adjustRightInd w:val="0"/>
              <w:snapToGrid w:val="0"/>
              <w:spacing w:line="360" w:lineRule="auto"/>
              <w:rPr>
                <w:rFonts w:asciiTheme="minorEastAsia" w:eastAsiaTheme="minorEastAsia" w:hAnsiTheme="minorEastAsia"/>
                <w:sz w:val="22"/>
                <w:szCs w:val="24"/>
                <w:u w:val="single"/>
              </w:rPr>
            </w:pPr>
            <w:r w:rsidRPr="007E0CC2">
              <w:rPr>
                <w:rFonts w:hint="eastAsia"/>
              </w:rPr>
              <w:t>刘莉、林良志、刘一敬</w:t>
            </w:r>
          </w:p>
        </w:tc>
        <w:tc>
          <w:tcPr>
            <w:tcW w:w="708"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c>
          <w:tcPr>
            <w:tcW w:w="1276" w:type="dxa"/>
            <w:vAlign w:val="center"/>
          </w:tcPr>
          <w:p w:rsidR="00BA0487" w:rsidRPr="007E0CC2" w:rsidRDefault="00BA0487" w:rsidP="00BA0487">
            <w:pPr>
              <w:adjustRightInd w:val="0"/>
              <w:snapToGrid w:val="0"/>
              <w:spacing w:line="360" w:lineRule="auto"/>
              <w:jc w:val="center"/>
              <w:rPr>
                <w:rFonts w:asciiTheme="minorEastAsia" w:eastAsiaTheme="minorEastAsia" w:hAnsiTheme="minorEastAsia"/>
                <w:sz w:val="22"/>
                <w:szCs w:val="24"/>
                <w:u w:val="single"/>
              </w:rPr>
            </w:pPr>
            <w:r w:rsidRPr="007E0CC2">
              <w:rPr>
                <w:rFonts w:hint="eastAsia"/>
              </w:rPr>
              <w:t>否</w:t>
            </w:r>
          </w:p>
        </w:tc>
      </w:tr>
    </w:tbl>
    <w:p w:rsidR="00A3313E" w:rsidRPr="007E0CC2" w:rsidRDefault="00A3313E" w:rsidP="00A3313E">
      <w:pPr>
        <w:adjustRightInd w:val="0"/>
        <w:snapToGrid w:val="0"/>
        <w:spacing w:before="100" w:beforeAutospacing="1" w:line="360" w:lineRule="auto"/>
        <w:ind w:firstLineChars="200" w:firstLine="482"/>
        <w:rPr>
          <w:rFonts w:asciiTheme="minorEastAsia" w:eastAsiaTheme="minorEastAsia" w:hAnsiTheme="minorEastAsia"/>
          <w:b/>
          <w:sz w:val="24"/>
          <w:szCs w:val="24"/>
        </w:rPr>
        <w:sectPr w:rsidR="00A3313E" w:rsidRPr="007E0CC2" w:rsidSect="00A3313E">
          <w:footerReference w:type="default" r:id="rId9"/>
          <w:pgSz w:w="11906" w:h="16838"/>
          <w:pgMar w:top="1440" w:right="1800" w:bottom="1440" w:left="1800" w:header="851" w:footer="992" w:gutter="0"/>
          <w:cols w:space="425"/>
          <w:docGrid w:type="lines" w:linePitch="312"/>
        </w:sectPr>
      </w:pPr>
    </w:p>
    <w:p w:rsidR="00B74BD3" w:rsidRPr="007E0CC2" w:rsidRDefault="00B74BD3" w:rsidP="003F4A3B">
      <w:pPr>
        <w:adjustRightInd w:val="0"/>
        <w:snapToGrid w:val="0"/>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lastRenderedPageBreak/>
        <w:t>（2）补充披露标的公司近三年的主要财务数据，包括但不限于营业收入、净利润、总资产、净资产等；</w:t>
      </w:r>
    </w:p>
    <w:p w:rsidR="00B74BD3" w:rsidRPr="007E0CC2" w:rsidRDefault="00B74BD3" w:rsidP="003F4A3B">
      <w:pPr>
        <w:adjustRightInd w:val="0"/>
        <w:snapToGrid w:val="0"/>
        <w:ind w:firstLineChars="200" w:firstLine="442"/>
        <w:rPr>
          <w:rFonts w:asciiTheme="minorEastAsia" w:eastAsiaTheme="minorEastAsia" w:hAnsiTheme="minorEastAsia"/>
          <w:b/>
          <w:sz w:val="22"/>
          <w:szCs w:val="24"/>
        </w:rPr>
      </w:pPr>
      <w:r w:rsidRPr="007E0CC2">
        <w:rPr>
          <w:rFonts w:asciiTheme="minorEastAsia" w:eastAsiaTheme="minorEastAsia" w:hAnsiTheme="minorEastAsia"/>
          <w:b/>
          <w:sz w:val="22"/>
          <w:szCs w:val="24"/>
        </w:rPr>
        <w:t>回复</w:t>
      </w:r>
      <w:r w:rsidRPr="007E0CC2">
        <w:rPr>
          <w:rFonts w:asciiTheme="minorEastAsia" w:eastAsiaTheme="minorEastAsia" w:hAnsiTheme="minorEastAsia" w:hint="eastAsia"/>
          <w:b/>
          <w:sz w:val="22"/>
          <w:szCs w:val="24"/>
        </w:rPr>
        <w:t>：</w:t>
      </w:r>
    </w:p>
    <w:p w:rsidR="00B74BD3" w:rsidRPr="007E0CC2" w:rsidRDefault="00B47A7F" w:rsidP="003F4A3B">
      <w:pPr>
        <w:adjustRightInd w:val="0"/>
        <w:snapToGrid w:val="0"/>
        <w:ind w:firstLineChars="200" w:firstLine="44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除</w:t>
      </w:r>
      <w:proofErr w:type="gramStart"/>
      <w:r w:rsidRPr="007E0CC2">
        <w:rPr>
          <w:rFonts w:asciiTheme="minorEastAsia" w:eastAsiaTheme="minorEastAsia" w:hAnsiTheme="minorEastAsia" w:hint="eastAsia"/>
          <w:sz w:val="22"/>
          <w:szCs w:val="24"/>
        </w:rPr>
        <w:t>福建新武夷</w:t>
      </w:r>
      <w:proofErr w:type="gramEnd"/>
      <w:r w:rsidRPr="007E0CC2">
        <w:rPr>
          <w:rFonts w:asciiTheme="minorEastAsia" w:eastAsiaTheme="minorEastAsia" w:hAnsiTheme="minorEastAsia" w:hint="eastAsia"/>
          <w:sz w:val="22"/>
          <w:szCs w:val="24"/>
        </w:rPr>
        <w:t>及</w:t>
      </w:r>
      <w:proofErr w:type="gramStart"/>
      <w:r w:rsidRPr="007E0CC2">
        <w:rPr>
          <w:rFonts w:asciiTheme="minorEastAsia" w:eastAsiaTheme="minorEastAsia" w:hAnsiTheme="minorEastAsia" w:hint="eastAsia"/>
          <w:sz w:val="22"/>
          <w:szCs w:val="24"/>
        </w:rPr>
        <w:t>九洲龙跃外其他</w:t>
      </w:r>
      <w:proofErr w:type="gramEnd"/>
      <w:r w:rsidRPr="007E0CC2">
        <w:rPr>
          <w:rFonts w:asciiTheme="minorEastAsia" w:eastAsiaTheme="minorEastAsia" w:hAnsiTheme="minorEastAsia" w:hint="eastAsia"/>
          <w:sz w:val="22"/>
          <w:szCs w:val="24"/>
        </w:rPr>
        <w:t>，</w:t>
      </w:r>
      <w:r w:rsidR="00B74BD3" w:rsidRPr="007E0CC2">
        <w:rPr>
          <w:rFonts w:asciiTheme="minorEastAsia" w:eastAsiaTheme="minorEastAsia" w:hAnsiTheme="minorEastAsia" w:hint="eastAsia"/>
          <w:sz w:val="22"/>
          <w:szCs w:val="24"/>
        </w:rPr>
        <w:t>上述标的公司近三年的主要财务指标见下表：</w:t>
      </w:r>
    </w:p>
    <w:p w:rsidR="003055F4" w:rsidRPr="007E0CC2" w:rsidRDefault="003055F4" w:rsidP="003F4A3B">
      <w:pPr>
        <w:adjustRightInd w:val="0"/>
        <w:snapToGrid w:val="0"/>
        <w:spacing w:line="360" w:lineRule="auto"/>
        <w:ind w:firstLineChars="200" w:firstLine="360"/>
        <w:jc w:val="right"/>
        <w:rPr>
          <w:rFonts w:asciiTheme="minorEastAsia" w:eastAsiaTheme="minorEastAsia" w:hAnsiTheme="minorEastAsia"/>
          <w:sz w:val="18"/>
          <w:szCs w:val="18"/>
        </w:rPr>
      </w:pPr>
      <w:r w:rsidRPr="007E0CC2">
        <w:rPr>
          <w:rFonts w:asciiTheme="minorEastAsia" w:eastAsiaTheme="minorEastAsia" w:hAnsiTheme="minorEastAsia"/>
          <w:sz w:val="18"/>
          <w:szCs w:val="18"/>
        </w:rPr>
        <w:t>单位</w:t>
      </w:r>
      <w:r w:rsidRPr="007E0CC2">
        <w:rPr>
          <w:rFonts w:asciiTheme="minorEastAsia" w:eastAsiaTheme="minorEastAsia" w:hAnsiTheme="minorEastAsia" w:hint="eastAsia"/>
          <w:sz w:val="18"/>
          <w:szCs w:val="18"/>
        </w:rPr>
        <w:t>：万元</w:t>
      </w:r>
    </w:p>
    <w:tbl>
      <w:tblPr>
        <w:tblW w:w="5801" w:type="pct"/>
        <w:tblInd w:w="-1168" w:type="dxa"/>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082"/>
        <w:gridCol w:w="865"/>
        <w:gridCol w:w="862"/>
        <w:gridCol w:w="1010"/>
        <w:gridCol w:w="1151"/>
        <w:gridCol w:w="1006"/>
        <w:gridCol w:w="1010"/>
        <w:gridCol w:w="1006"/>
        <w:gridCol w:w="1010"/>
        <w:gridCol w:w="1006"/>
        <w:gridCol w:w="1151"/>
        <w:gridCol w:w="1036"/>
        <w:gridCol w:w="1556"/>
      </w:tblGrid>
      <w:tr w:rsidR="007E0CC2" w:rsidRPr="007E0CC2" w:rsidTr="00EF16B4">
        <w:trPr>
          <w:trHeight w:val="277"/>
        </w:trPr>
        <w:tc>
          <w:tcPr>
            <w:tcW w:w="129" w:type="pct"/>
            <w:vMerge w:val="restart"/>
            <w:vAlign w:val="center"/>
          </w:tcPr>
          <w:p w:rsidR="009E6687" w:rsidRPr="007E0CC2" w:rsidRDefault="009E6687" w:rsidP="00BD099D">
            <w:pPr>
              <w:adjustRightInd w:val="0"/>
              <w:snapToGrid w:val="0"/>
              <w:spacing w:beforeLines="25" w:before="78" w:afterLines="25" w:after="78"/>
              <w:ind w:leftChars="4" w:left="8"/>
              <w:jc w:val="center"/>
              <w:rPr>
                <w:b/>
                <w:sz w:val="18"/>
                <w:szCs w:val="18"/>
              </w:rPr>
            </w:pPr>
            <w:r w:rsidRPr="007E0CC2">
              <w:rPr>
                <w:b/>
                <w:sz w:val="18"/>
                <w:szCs w:val="18"/>
              </w:rPr>
              <w:t>序号</w:t>
            </w:r>
          </w:p>
        </w:tc>
        <w:tc>
          <w:tcPr>
            <w:tcW w:w="690" w:type="pct"/>
            <w:vMerge w:val="restart"/>
            <w:vAlign w:val="center"/>
          </w:tcPr>
          <w:p w:rsidR="009E6687" w:rsidRPr="007E0CC2" w:rsidRDefault="009E6687" w:rsidP="00BD099D">
            <w:pPr>
              <w:adjustRightInd w:val="0"/>
              <w:snapToGrid w:val="0"/>
              <w:spacing w:beforeLines="25" w:before="78" w:afterLines="25" w:after="78"/>
              <w:ind w:leftChars="4" w:left="8"/>
              <w:jc w:val="center"/>
              <w:rPr>
                <w:b/>
                <w:sz w:val="18"/>
                <w:szCs w:val="18"/>
              </w:rPr>
            </w:pPr>
            <w:r w:rsidRPr="007E0CC2">
              <w:rPr>
                <w:b/>
                <w:sz w:val="18"/>
                <w:szCs w:val="18"/>
              </w:rPr>
              <w:t>投资标的</w:t>
            </w:r>
          </w:p>
        </w:tc>
        <w:tc>
          <w:tcPr>
            <w:tcW w:w="1161" w:type="pct"/>
            <w:gridSpan w:val="4"/>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2016</w:t>
            </w:r>
            <w:r w:rsidRPr="007E0CC2">
              <w:rPr>
                <w:b/>
                <w:sz w:val="18"/>
                <w:szCs w:val="18"/>
              </w:rPr>
              <w:t>年度</w:t>
            </w:r>
          </w:p>
        </w:tc>
        <w:tc>
          <w:tcPr>
            <w:tcW w:w="1269" w:type="pct"/>
            <w:gridSpan w:val="4"/>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2017</w:t>
            </w:r>
            <w:r w:rsidRPr="007E0CC2">
              <w:rPr>
                <w:b/>
                <w:sz w:val="18"/>
                <w:szCs w:val="18"/>
              </w:rPr>
              <w:t>年度</w:t>
            </w:r>
          </w:p>
        </w:tc>
        <w:tc>
          <w:tcPr>
            <w:tcW w:w="1278" w:type="pct"/>
            <w:gridSpan w:val="4"/>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2018</w:t>
            </w:r>
            <w:r w:rsidRPr="007E0CC2">
              <w:rPr>
                <w:b/>
                <w:sz w:val="18"/>
                <w:szCs w:val="18"/>
              </w:rPr>
              <w:t>年度</w:t>
            </w:r>
          </w:p>
        </w:tc>
        <w:tc>
          <w:tcPr>
            <w:tcW w:w="473" w:type="pct"/>
            <w:vMerge w:val="restar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rFonts w:hint="eastAsia"/>
                <w:b/>
                <w:sz w:val="18"/>
                <w:szCs w:val="18"/>
              </w:rPr>
              <w:t>备注</w:t>
            </w:r>
          </w:p>
        </w:tc>
      </w:tr>
      <w:tr w:rsidR="007E0CC2" w:rsidRPr="007E0CC2" w:rsidTr="00EF16B4">
        <w:tc>
          <w:tcPr>
            <w:tcW w:w="129" w:type="pct"/>
            <w:vMerge/>
          </w:tcPr>
          <w:p w:rsidR="009E6687" w:rsidRPr="007E0CC2" w:rsidRDefault="009E6687" w:rsidP="00BD099D">
            <w:pPr>
              <w:widowControl/>
              <w:adjustRightInd w:val="0"/>
              <w:snapToGrid w:val="0"/>
              <w:spacing w:beforeLines="25" w:before="78" w:afterLines="25" w:after="78"/>
              <w:ind w:leftChars="4" w:left="8"/>
              <w:jc w:val="center"/>
              <w:rPr>
                <w:b/>
                <w:sz w:val="18"/>
                <w:szCs w:val="18"/>
              </w:rPr>
            </w:pPr>
          </w:p>
        </w:tc>
        <w:tc>
          <w:tcPr>
            <w:tcW w:w="690" w:type="pct"/>
            <w:vMerge/>
            <w:vAlign w:val="center"/>
          </w:tcPr>
          <w:p w:rsidR="009E6687" w:rsidRPr="007E0CC2" w:rsidRDefault="009E6687" w:rsidP="00BD099D">
            <w:pPr>
              <w:widowControl/>
              <w:adjustRightInd w:val="0"/>
              <w:snapToGrid w:val="0"/>
              <w:spacing w:beforeLines="25" w:before="78" w:afterLines="25" w:after="78"/>
              <w:ind w:leftChars="4" w:left="8"/>
              <w:jc w:val="center"/>
              <w:rPr>
                <w:b/>
                <w:sz w:val="18"/>
                <w:szCs w:val="18"/>
              </w:rPr>
            </w:pPr>
          </w:p>
        </w:tc>
        <w:tc>
          <w:tcPr>
            <w:tcW w:w="329"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营业收入</w:t>
            </w:r>
          </w:p>
        </w:tc>
        <w:tc>
          <w:tcPr>
            <w:tcW w:w="263"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净利润</w:t>
            </w:r>
          </w:p>
        </w:tc>
        <w:tc>
          <w:tcPr>
            <w:tcW w:w="262"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总资产</w:t>
            </w:r>
          </w:p>
        </w:tc>
        <w:tc>
          <w:tcPr>
            <w:tcW w:w="307"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净资产</w:t>
            </w:r>
          </w:p>
        </w:tc>
        <w:tc>
          <w:tcPr>
            <w:tcW w:w="350"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营业收入</w:t>
            </w:r>
          </w:p>
        </w:tc>
        <w:tc>
          <w:tcPr>
            <w:tcW w:w="306"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净利润</w:t>
            </w:r>
          </w:p>
        </w:tc>
        <w:tc>
          <w:tcPr>
            <w:tcW w:w="307"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总资产</w:t>
            </w:r>
          </w:p>
        </w:tc>
        <w:tc>
          <w:tcPr>
            <w:tcW w:w="306"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净资产</w:t>
            </w:r>
          </w:p>
        </w:tc>
        <w:tc>
          <w:tcPr>
            <w:tcW w:w="307"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营业收入</w:t>
            </w:r>
          </w:p>
        </w:tc>
        <w:tc>
          <w:tcPr>
            <w:tcW w:w="306"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净利润</w:t>
            </w:r>
          </w:p>
        </w:tc>
        <w:tc>
          <w:tcPr>
            <w:tcW w:w="350"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总资产</w:t>
            </w:r>
          </w:p>
        </w:tc>
        <w:tc>
          <w:tcPr>
            <w:tcW w:w="315" w:type="pct"/>
            <w:vAlign w:val="center"/>
          </w:tcPr>
          <w:p w:rsidR="009E6687" w:rsidRPr="007E0CC2" w:rsidRDefault="009E6687" w:rsidP="00BD099D">
            <w:pPr>
              <w:adjustRightInd w:val="0"/>
              <w:snapToGrid w:val="0"/>
              <w:spacing w:beforeLines="25" w:before="78" w:afterLines="25" w:after="78"/>
              <w:jc w:val="center"/>
              <w:rPr>
                <w:b/>
                <w:sz w:val="18"/>
                <w:szCs w:val="18"/>
              </w:rPr>
            </w:pPr>
            <w:r w:rsidRPr="007E0CC2">
              <w:rPr>
                <w:b/>
                <w:sz w:val="18"/>
                <w:szCs w:val="18"/>
              </w:rPr>
              <w:t>净资产</w:t>
            </w:r>
          </w:p>
        </w:tc>
        <w:tc>
          <w:tcPr>
            <w:tcW w:w="473" w:type="pct"/>
            <w:vMerge/>
            <w:vAlign w:val="center"/>
          </w:tcPr>
          <w:p w:rsidR="009E6687" w:rsidRPr="007E0CC2" w:rsidRDefault="009E6687" w:rsidP="00BD099D">
            <w:pPr>
              <w:adjustRightInd w:val="0"/>
              <w:snapToGrid w:val="0"/>
              <w:spacing w:beforeLines="25" w:before="78" w:afterLines="25" w:after="78"/>
              <w:jc w:val="center"/>
              <w:rPr>
                <w:b/>
                <w:sz w:val="18"/>
                <w:szCs w:val="18"/>
              </w:rPr>
            </w:pPr>
          </w:p>
        </w:tc>
      </w:tr>
      <w:tr w:rsidR="007E0CC2" w:rsidRPr="007E0CC2" w:rsidTr="00EF16B4">
        <w:tc>
          <w:tcPr>
            <w:tcW w:w="129" w:type="pct"/>
            <w:vAlign w:val="center"/>
          </w:tcPr>
          <w:p w:rsidR="00A02FB8" w:rsidRPr="007E0CC2" w:rsidRDefault="00A02FB8" w:rsidP="00BD099D">
            <w:pPr>
              <w:adjustRightInd w:val="0"/>
              <w:snapToGrid w:val="0"/>
              <w:spacing w:beforeLines="25" w:before="78" w:afterLines="25" w:after="78"/>
              <w:ind w:leftChars="4" w:left="8"/>
              <w:jc w:val="center"/>
              <w:rPr>
                <w:sz w:val="18"/>
                <w:szCs w:val="18"/>
              </w:rPr>
            </w:pPr>
            <w:r w:rsidRPr="007E0CC2">
              <w:rPr>
                <w:rFonts w:hint="eastAsia"/>
                <w:sz w:val="18"/>
                <w:szCs w:val="18"/>
              </w:rPr>
              <w:t>1</w:t>
            </w:r>
          </w:p>
        </w:tc>
        <w:tc>
          <w:tcPr>
            <w:tcW w:w="690" w:type="pct"/>
          </w:tcPr>
          <w:p w:rsidR="00A02FB8" w:rsidRPr="007E0CC2" w:rsidRDefault="00A02FB8" w:rsidP="00BD099D">
            <w:pPr>
              <w:adjustRightInd w:val="0"/>
              <w:snapToGrid w:val="0"/>
              <w:spacing w:beforeLines="25" w:before="78" w:afterLines="25" w:after="78"/>
              <w:jc w:val="left"/>
              <w:rPr>
                <w:sz w:val="18"/>
                <w:szCs w:val="18"/>
              </w:rPr>
            </w:pPr>
            <w:r w:rsidRPr="007E0CC2">
              <w:rPr>
                <w:rFonts w:hint="eastAsia"/>
                <w:sz w:val="18"/>
                <w:szCs w:val="18"/>
              </w:rPr>
              <w:t>武汉瑞伏医疗健康股权投资合伙企业（有限合伙）</w:t>
            </w:r>
          </w:p>
        </w:tc>
        <w:tc>
          <w:tcPr>
            <w:tcW w:w="329"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3"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2"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7"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20.77</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-258.94</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18,944.15</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18,932.98</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41.31</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-1,543.16</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33,204.25</w:t>
            </w:r>
          </w:p>
        </w:tc>
        <w:tc>
          <w:tcPr>
            <w:tcW w:w="315"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33,026.18</w:t>
            </w:r>
          </w:p>
        </w:tc>
        <w:tc>
          <w:tcPr>
            <w:tcW w:w="473" w:type="pct"/>
            <w:vAlign w:val="center"/>
          </w:tcPr>
          <w:p w:rsidR="00A02FB8" w:rsidRPr="007E0CC2" w:rsidRDefault="00E05A26" w:rsidP="00BD099D">
            <w:pPr>
              <w:adjustRightInd w:val="0"/>
              <w:snapToGrid w:val="0"/>
              <w:spacing w:beforeLines="25" w:before="78" w:afterLines="25" w:after="78"/>
              <w:jc w:val="center"/>
              <w:rPr>
                <w:sz w:val="18"/>
                <w:szCs w:val="18"/>
              </w:rPr>
            </w:pPr>
            <w:r w:rsidRPr="007E0CC2">
              <w:rPr>
                <w:rFonts w:hint="eastAsia"/>
                <w:sz w:val="18"/>
                <w:szCs w:val="18"/>
              </w:rPr>
              <w:t>2017</w:t>
            </w:r>
            <w:r w:rsidRPr="007E0CC2">
              <w:rPr>
                <w:rFonts w:hint="eastAsia"/>
                <w:sz w:val="18"/>
                <w:szCs w:val="18"/>
              </w:rPr>
              <w:t>年</w:t>
            </w:r>
            <w:r w:rsidRPr="007E0CC2">
              <w:rPr>
                <w:rFonts w:hint="eastAsia"/>
                <w:sz w:val="18"/>
                <w:szCs w:val="18"/>
              </w:rPr>
              <w:t>2</w:t>
            </w:r>
            <w:r w:rsidRPr="007E0CC2">
              <w:rPr>
                <w:rFonts w:hint="eastAsia"/>
                <w:sz w:val="18"/>
                <w:szCs w:val="18"/>
              </w:rPr>
              <w:t>月成立；数据经审计</w:t>
            </w:r>
          </w:p>
        </w:tc>
      </w:tr>
      <w:tr w:rsidR="007E0CC2" w:rsidRPr="007E0CC2" w:rsidTr="00EF16B4">
        <w:tc>
          <w:tcPr>
            <w:tcW w:w="129" w:type="pct"/>
            <w:vAlign w:val="center"/>
          </w:tcPr>
          <w:p w:rsidR="00A02FB8" w:rsidRPr="007E0CC2" w:rsidRDefault="00A02FB8" w:rsidP="00BD099D">
            <w:pPr>
              <w:adjustRightInd w:val="0"/>
              <w:snapToGrid w:val="0"/>
              <w:spacing w:beforeLines="25" w:before="78" w:afterLines="25" w:after="78"/>
              <w:ind w:leftChars="4" w:left="8"/>
              <w:jc w:val="center"/>
              <w:rPr>
                <w:sz w:val="18"/>
                <w:szCs w:val="18"/>
              </w:rPr>
            </w:pPr>
            <w:r w:rsidRPr="007E0CC2">
              <w:rPr>
                <w:rFonts w:hint="eastAsia"/>
                <w:sz w:val="18"/>
                <w:szCs w:val="18"/>
              </w:rPr>
              <w:t>2</w:t>
            </w:r>
          </w:p>
        </w:tc>
        <w:tc>
          <w:tcPr>
            <w:tcW w:w="690" w:type="pct"/>
          </w:tcPr>
          <w:p w:rsidR="00A02FB8" w:rsidRPr="007E0CC2" w:rsidRDefault="00A02FB8" w:rsidP="00BD099D">
            <w:pPr>
              <w:adjustRightInd w:val="0"/>
              <w:snapToGrid w:val="0"/>
              <w:spacing w:beforeLines="25" w:before="78" w:afterLines="25" w:after="78"/>
              <w:jc w:val="left"/>
              <w:rPr>
                <w:sz w:val="18"/>
                <w:szCs w:val="18"/>
              </w:rPr>
            </w:pPr>
            <w:r w:rsidRPr="007E0CC2">
              <w:rPr>
                <w:rFonts w:hint="eastAsia"/>
                <w:sz w:val="18"/>
                <w:szCs w:val="18"/>
              </w:rPr>
              <w:t>苏州</w:t>
            </w:r>
            <w:proofErr w:type="gramStart"/>
            <w:r w:rsidRPr="007E0CC2">
              <w:rPr>
                <w:rFonts w:hint="eastAsia"/>
                <w:sz w:val="18"/>
                <w:szCs w:val="18"/>
              </w:rPr>
              <w:t>盛涛医疗</w:t>
            </w:r>
            <w:proofErr w:type="gramEnd"/>
            <w:r w:rsidRPr="007E0CC2">
              <w:rPr>
                <w:rFonts w:hint="eastAsia"/>
                <w:sz w:val="18"/>
                <w:szCs w:val="18"/>
              </w:rPr>
              <w:t>投资合伙企业（有限合伙）</w:t>
            </w:r>
          </w:p>
        </w:tc>
        <w:tc>
          <w:tcPr>
            <w:tcW w:w="329"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3"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2"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7"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0.00</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-10.00</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0.00</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-10.00</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0.00</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4.15</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6,483.50</w:t>
            </w:r>
          </w:p>
        </w:tc>
        <w:tc>
          <w:tcPr>
            <w:tcW w:w="315"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6,473.50</w:t>
            </w:r>
          </w:p>
        </w:tc>
        <w:tc>
          <w:tcPr>
            <w:tcW w:w="473" w:type="pct"/>
            <w:vAlign w:val="center"/>
          </w:tcPr>
          <w:p w:rsidR="00A02FB8" w:rsidRPr="007E0CC2" w:rsidRDefault="00E05A26" w:rsidP="00BD099D">
            <w:pPr>
              <w:adjustRightInd w:val="0"/>
              <w:snapToGrid w:val="0"/>
              <w:spacing w:beforeLines="25" w:before="78" w:afterLines="25" w:after="78"/>
              <w:jc w:val="center"/>
              <w:rPr>
                <w:sz w:val="18"/>
                <w:szCs w:val="18"/>
              </w:rPr>
            </w:pPr>
            <w:r w:rsidRPr="007E0CC2">
              <w:rPr>
                <w:rFonts w:hint="eastAsia"/>
                <w:sz w:val="18"/>
                <w:szCs w:val="18"/>
              </w:rPr>
              <w:t>2017</w:t>
            </w:r>
            <w:r w:rsidRPr="007E0CC2">
              <w:rPr>
                <w:rFonts w:hint="eastAsia"/>
                <w:sz w:val="18"/>
                <w:szCs w:val="18"/>
              </w:rPr>
              <w:t>年</w:t>
            </w:r>
            <w:r w:rsidRPr="007E0CC2">
              <w:rPr>
                <w:rFonts w:hint="eastAsia"/>
                <w:sz w:val="18"/>
                <w:szCs w:val="18"/>
              </w:rPr>
              <w:t>6</w:t>
            </w:r>
            <w:r w:rsidRPr="007E0CC2">
              <w:rPr>
                <w:rFonts w:hint="eastAsia"/>
                <w:sz w:val="18"/>
                <w:szCs w:val="18"/>
              </w:rPr>
              <w:t>月成立</w:t>
            </w:r>
          </w:p>
        </w:tc>
      </w:tr>
      <w:tr w:rsidR="007E0CC2" w:rsidRPr="007E0CC2" w:rsidTr="00EF16B4">
        <w:tc>
          <w:tcPr>
            <w:tcW w:w="129" w:type="pct"/>
            <w:vAlign w:val="center"/>
          </w:tcPr>
          <w:p w:rsidR="00A02FB8" w:rsidRPr="007E0CC2" w:rsidRDefault="00A02FB8" w:rsidP="00BD099D">
            <w:pPr>
              <w:adjustRightInd w:val="0"/>
              <w:snapToGrid w:val="0"/>
              <w:spacing w:beforeLines="25" w:before="78" w:afterLines="25" w:after="78"/>
              <w:ind w:leftChars="4" w:left="8"/>
              <w:jc w:val="center"/>
              <w:rPr>
                <w:sz w:val="18"/>
                <w:szCs w:val="18"/>
              </w:rPr>
            </w:pPr>
            <w:r w:rsidRPr="007E0CC2">
              <w:rPr>
                <w:rFonts w:hint="eastAsia"/>
                <w:sz w:val="18"/>
                <w:szCs w:val="18"/>
              </w:rPr>
              <w:t>3</w:t>
            </w:r>
          </w:p>
        </w:tc>
        <w:tc>
          <w:tcPr>
            <w:tcW w:w="690" w:type="pct"/>
          </w:tcPr>
          <w:p w:rsidR="00A02FB8" w:rsidRPr="007E0CC2" w:rsidRDefault="00A02FB8" w:rsidP="00BD099D">
            <w:pPr>
              <w:adjustRightInd w:val="0"/>
              <w:snapToGrid w:val="0"/>
              <w:spacing w:beforeLines="25" w:before="78" w:afterLines="25" w:after="78"/>
              <w:jc w:val="left"/>
              <w:rPr>
                <w:sz w:val="18"/>
                <w:szCs w:val="18"/>
              </w:rPr>
            </w:pPr>
            <w:r w:rsidRPr="007E0CC2">
              <w:rPr>
                <w:rFonts w:hint="eastAsia"/>
                <w:sz w:val="18"/>
                <w:szCs w:val="18"/>
              </w:rPr>
              <w:t>重庆市</w:t>
            </w:r>
            <w:proofErr w:type="gramStart"/>
            <w:r w:rsidRPr="007E0CC2">
              <w:rPr>
                <w:rFonts w:hint="eastAsia"/>
                <w:sz w:val="18"/>
                <w:szCs w:val="18"/>
              </w:rPr>
              <w:t>医</w:t>
            </w:r>
            <w:proofErr w:type="gramEnd"/>
            <w:r w:rsidRPr="007E0CC2">
              <w:rPr>
                <w:rFonts w:hint="eastAsia"/>
                <w:sz w:val="18"/>
                <w:szCs w:val="18"/>
              </w:rPr>
              <w:t>济堂生物制品有限公司</w:t>
            </w:r>
          </w:p>
        </w:tc>
        <w:tc>
          <w:tcPr>
            <w:tcW w:w="329"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167.30</w:t>
            </w:r>
          </w:p>
        </w:tc>
        <w:tc>
          <w:tcPr>
            <w:tcW w:w="263"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-7.42</w:t>
            </w:r>
          </w:p>
        </w:tc>
        <w:tc>
          <w:tcPr>
            <w:tcW w:w="262"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41.94</w:t>
            </w:r>
          </w:p>
        </w:tc>
        <w:tc>
          <w:tcPr>
            <w:tcW w:w="307"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-1.94</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302.92</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-13.96</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132.00</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-3.90</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389.23</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5.99</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497.86</w:t>
            </w:r>
          </w:p>
        </w:tc>
        <w:tc>
          <w:tcPr>
            <w:tcW w:w="315"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125.67</w:t>
            </w:r>
          </w:p>
        </w:tc>
        <w:tc>
          <w:tcPr>
            <w:tcW w:w="473" w:type="pct"/>
            <w:vAlign w:val="center"/>
          </w:tcPr>
          <w:p w:rsidR="00A02FB8" w:rsidRPr="007E0CC2" w:rsidRDefault="00E05A26" w:rsidP="00BD099D">
            <w:pPr>
              <w:adjustRightInd w:val="0"/>
              <w:snapToGrid w:val="0"/>
              <w:spacing w:beforeLines="25" w:before="78" w:afterLines="25" w:after="78"/>
              <w:jc w:val="center"/>
              <w:rPr>
                <w:sz w:val="18"/>
                <w:szCs w:val="18"/>
              </w:rPr>
            </w:pPr>
            <w:r w:rsidRPr="007E0CC2">
              <w:rPr>
                <w:rFonts w:hint="eastAsia"/>
                <w:sz w:val="18"/>
                <w:szCs w:val="18"/>
              </w:rPr>
              <w:t>2017</w:t>
            </w:r>
            <w:r w:rsidRPr="007E0CC2">
              <w:rPr>
                <w:rFonts w:hint="eastAsia"/>
                <w:sz w:val="18"/>
                <w:szCs w:val="18"/>
              </w:rPr>
              <w:t>、</w:t>
            </w:r>
            <w:r w:rsidRPr="007E0CC2">
              <w:rPr>
                <w:rFonts w:hint="eastAsia"/>
                <w:sz w:val="18"/>
                <w:szCs w:val="18"/>
              </w:rPr>
              <w:t>2018</w:t>
            </w:r>
            <w:r w:rsidRPr="007E0CC2">
              <w:rPr>
                <w:rFonts w:hint="eastAsia"/>
                <w:sz w:val="18"/>
                <w:szCs w:val="18"/>
              </w:rPr>
              <w:t>年数据经审计</w:t>
            </w:r>
          </w:p>
        </w:tc>
      </w:tr>
      <w:tr w:rsidR="007E0CC2" w:rsidRPr="007E0CC2" w:rsidTr="00EF16B4">
        <w:tc>
          <w:tcPr>
            <w:tcW w:w="129" w:type="pct"/>
            <w:vAlign w:val="center"/>
          </w:tcPr>
          <w:p w:rsidR="00A02FB8" w:rsidRPr="007E0CC2" w:rsidRDefault="00A02FB8" w:rsidP="00BD099D">
            <w:pPr>
              <w:adjustRightInd w:val="0"/>
              <w:snapToGrid w:val="0"/>
              <w:spacing w:beforeLines="25" w:before="78" w:afterLines="25" w:after="78"/>
              <w:ind w:leftChars="4" w:left="8"/>
              <w:jc w:val="center"/>
              <w:rPr>
                <w:sz w:val="18"/>
                <w:szCs w:val="18"/>
              </w:rPr>
            </w:pPr>
            <w:r w:rsidRPr="007E0CC2">
              <w:rPr>
                <w:rFonts w:hint="eastAsia"/>
                <w:sz w:val="18"/>
                <w:szCs w:val="18"/>
              </w:rPr>
              <w:t>4</w:t>
            </w:r>
          </w:p>
        </w:tc>
        <w:tc>
          <w:tcPr>
            <w:tcW w:w="690" w:type="pct"/>
          </w:tcPr>
          <w:p w:rsidR="00A02FB8" w:rsidRPr="007E0CC2" w:rsidRDefault="00A02FB8" w:rsidP="00BD099D">
            <w:pPr>
              <w:adjustRightInd w:val="0"/>
              <w:snapToGrid w:val="0"/>
              <w:spacing w:beforeLines="25" w:before="78" w:afterLines="25" w:after="78"/>
              <w:jc w:val="left"/>
              <w:rPr>
                <w:sz w:val="18"/>
                <w:szCs w:val="18"/>
              </w:rPr>
            </w:pPr>
            <w:r w:rsidRPr="007E0CC2">
              <w:rPr>
                <w:rFonts w:hint="eastAsia"/>
                <w:sz w:val="18"/>
                <w:szCs w:val="18"/>
              </w:rPr>
              <w:t>重庆市汉通生物科技有限公司</w:t>
            </w:r>
          </w:p>
        </w:tc>
        <w:tc>
          <w:tcPr>
            <w:tcW w:w="329"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3"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262"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7"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50"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6"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7"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6" w:type="pct"/>
            <w:vAlign w:val="center"/>
          </w:tcPr>
          <w:p w:rsidR="00A02FB8" w:rsidRPr="007E0CC2" w:rsidRDefault="00A02FB8" w:rsidP="00BD099D">
            <w:pPr>
              <w:adjustRightInd w:val="0"/>
              <w:snapToGrid w:val="0"/>
              <w:spacing w:beforeLines="25" w:before="78" w:afterLines="25" w:after="78"/>
              <w:jc w:val="center"/>
              <w:rPr>
                <w:sz w:val="18"/>
                <w:szCs w:val="18"/>
              </w:rPr>
            </w:pPr>
            <w:r w:rsidRPr="007E0CC2">
              <w:rPr>
                <w:rFonts w:hint="eastAsia"/>
                <w:sz w:val="18"/>
                <w:szCs w:val="18"/>
              </w:rPr>
              <w:t>-</w:t>
            </w:r>
          </w:p>
        </w:tc>
        <w:tc>
          <w:tcPr>
            <w:tcW w:w="307"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0.00</w:t>
            </w:r>
          </w:p>
        </w:tc>
        <w:tc>
          <w:tcPr>
            <w:tcW w:w="306"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-7.45</w:t>
            </w:r>
          </w:p>
        </w:tc>
        <w:tc>
          <w:tcPr>
            <w:tcW w:w="350"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756.46</w:t>
            </w:r>
          </w:p>
        </w:tc>
        <w:tc>
          <w:tcPr>
            <w:tcW w:w="315" w:type="pct"/>
            <w:vAlign w:val="center"/>
          </w:tcPr>
          <w:p w:rsidR="00A02FB8" w:rsidRPr="007E0CC2" w:rsidRDefault="00A02FB8" w:rsidP="00BD099D">
            <w:pPr>
              <w:adjustRightInd w:val="0"/>
              <w:snapToGrid w:val="0"/>
              <w:spacing w:beforeLines="25" w:before="78" w:afterLines="25" w:after="78"/>
              <w:jc w:val="right"/>
              <w:rPr>
                <w:sz w:val="18"/>
                <w:szCs w:val="18"/>
              </w:rPr>
            </w:pPr>
            <w:r w:rsidRPr="007E0CC2">
              <w:rPr>
                <w:rFonts w:hint="eastAsia"/>
                <w:sz w:val="18"/>
                <w:szCs w:val="18"/>
              </w:rPr>
              <w:t>478.55</w:t>
            </w:r>
          </w:p>
        </w:tc>
        <w:tc>
          <w:tcPr>
            <w:tcW w:w="473" w:type="pct"/>
            <w:vAlign w:val="center"/>
          </w:tcPr>
          <w:p w:rsidR="00A02FB8" w:rsidRPr="007E0CC2" w:rsidRDefault="00E05A26" w:rsidP="00BD099D">
            <w:pPr>
              <w:adjustRightInd w:val="0"/>
              <w:snapToGrid w:val="0"/>
              <w:spacing w:beforeLines="25" w:before="78" w:afterLines="25" w:after="78"/>
              <w:jc w:val="center"/>
              <w:rPr>
                <w:sz w:val="18"/>
                <w:szCs w:val="18"/>
              </w:rPr>
            </w:pPr>
            <w:r w:rsidRPr="007E0CC2">
              <w:rPr>
                <w:rFonts w:hint="eastAsia"/>
                <w:sz w:val="18"/>
                <w:szCs w:val="18"/>
              </w:rPr>
              <w:t>2018</w:t>
            </w:r>
            <w:r w:rsidRPr="007E0CC2">
              <w:rPr>
                <w:rFonts w:hint="eastAsia"/>
                <w:sz w:val="18"/>
                <w:szCs w:val="18"/>
              </w:rPr>
              <w:t>年</w:t>
            </w:r>
            <w:r w:rsidR="00DB6771" w:rsidRPr="007E0CC2">
              <w:rPr>
                <w:rFonts w:hint="eastAsia"/>
                <w:sz w:val="18"/>
                <w:szCs w:val="18"/>
              </w:rPr>
              <w:t>1</w:t>
            </w:r>
            <w:r w:rsidR="00DB6771" w:rsidRPr="007E0CC2">
              <w:rPr>
                <w:rFonts w:hint="eastAsia"/>
                <w:sz w:val="18"/>
                <w:szCs w:val="18"/>
              </w:rPr>
              <w:t>月成立；数据经审计</w:t>
            </w:r>
          </w:p>
        </w:tc>
      </w:tr>
    </w:tbl>
    <w:p w:rsidR="00EB396D" w:rsidRPr="007E0CC2" w:rsidRDefault="00EB396D" w:rsidP="00A1703B">
      <w:pPr>
        <w:adjustRightInd w:val="0"/>
        <w:snapToGrid w:val="0"/>
        <w:spacing w:line="360" w:lineRule="auto"/>
        <w:ind w:firstLineChars="200" w:firstLine="482"/>
        <w:rPr>
          <w:rFonts w:asciiTheme="minorEastAsia" w:eastAsiaTheme="minorEastAsia" w:hAnsiTheme="minorEastAsia"/>
          <w:b/>
          <w:sz w:val="24"/>
          <w:szCs w:val="24"/>
        </w:rPr>
        <w:sectPr w:rsidR="00EB396D" w:rsidRPr="007E0CC2" w:rsidSect="00EB396D">
          <w:pgSz w:w="16838" w:h="11906" w:orient="landscape"/>
          <w:pgMar w:top="1800" w:right="1440" w:bottom="1800" w:left="1440" w:header="851" w:footer="992" w:gutter="0"/>
          <w:cols w:space="425"/>
          <w:docGrid w:type="lines" w:linePitch="312"/>
        </w:sectPr>
      </w:pPr>
    </w:p>
    <w:p w:rsidR="00A1703B" w:rsidRPr="007E0CC2" w:rsidRDefault="00A1703B" w:rsidP="00997043">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lastRenderedPageBreak/>
        <w:t>（</w:t>
      </w:r>
      <w:r w:rsidR="0063572A" w:rsidRPr="007E0CC2">
        <w:rPr>
          <w:rFonts w:asciiTheme="minorEastAsia" w:eastAsiaTheme="minorEastAsia" w:hAnsiTheme="minorEastAsia" w:hint="eastAsia"/>
          <w:b/>
          <w:sz w:val="22"/>
          <w:szCs w:val="22"/>
        </w:rPr>
        <w:t>4</w:t>
      </w:r>
      <w:r w:rsidRPr="007E0CC2">
        <w:rPr>
          <w:rFonts w:asciiTheme="minorEastAsia" w:eastAsiaTheme="minorEastAsia" w:hAnsiTheme="minorEastAsia" w:hint="eastAsia"/>
          <w:b/>
          <w:sz w:val="22"/>
          <w:szCs w:val="22"/>
        </w:rPr>
        <w:t>）</w:t>
      </w:r>
      <w:r w:rsidR="000D503D" w:rsidRPr="007E0CC2">
        <w:rPr>
          <w:rFonts w:asciiTheme="minorEastAsia" w:eastAsiaTheme="minorEastAsia" w:hAnsiTheme="minorEastAsia" w:hint="eastAsia"/>
          <w:b/>
          <w:sz w:val="22"/>
          <w:szCs w:val="22"/>
        </w:rPr>
        <w:t>设立</w:t>
      </w:r>
      <w:r w:rsidRPr="007E0CC2">
        <w:rPr>
          <w:rFonts w:asciiTheme="minorEastAsia" w:eastAsiaTheme="minorEastAsia" w:hAnsiTheme="minorEastAsia" w:hint="eastAsia"/>
          <w:b/>
          <w:sz w:val="22"/>
          <w:szCs w:val="22"/>
        </w:rPr>
        <w:t>境外子公司</w:t>
      </w:r>
      <w:r w:rsidR="000D503D" w:rsidRPr="007E0CC2">
        <w:rPr>
          <w:rFonts w:asciiTheme="minorEastAsia" w:eastAsiaTheme="minorEastAsia" w:hAnsiTheme="minorEastAsia" w:hint="eastAsia"/>
          <w:b/>
          <w:sz w:val="22"/>
          <w:szCs w:val="22"/>
        </w:rPr>
        <w:t>具体目的。</w:t>
      </w:r>
    </w:p>
    <w:p w:rsidR="005125BC" w:rsidRPr="007E0CC2" w:rsidRDefault="00B47A7F" w:rsidP="00997043">
      <w:pPr>
        <w:adjustRightInd w:val="0"/>
        <w:snapToGrid w:val="0"/>
        <w:spacing w:line="360" w:lineRule="auto"/>
        <w:ind w:firstLineChars="200" w:firstLine="442"/>
        <w:rPr>
          <w:rFonts w:asciiTheme="minorEastAsia" w:eastAsiaTheme="minorEastAsia" w:hAnsiTheme="minorEastAsia"/>
          <w:b/>
          <w:sz w:val="22"/>
          <w:szCs w:val="22"/>
        </w:rPr>
      </w:pPr>
      <w:r w:rsidRPr="007E0CC2">
        <w:rPr>
          <w:rFonts w:asciiTheme="minorEastAsia" w:eastAsiaTheme="minorEastAsia" w:hAnsiTheme="minorEastAsia" w:hint="eastAsia"/>
          <w:b/>
          <w:sz w:val="22"/>
          <w:szCs w:val="22"/>
        </w:rPr>
        <w:t>补充</w:t>
      </w:r>
      <w:r w:rsidR="005125BC" w:rsidRPr="007E0CC2">
        <w:rPr>
          <w:rFonts w:asciiTheme="minorEastAsia" w:eastAsiaTheme="minorEastAsia" w:hAnsiTheme="minorEastAsia"/>
          <w:b/>
          <w:sz w:val="22"/>
          <w:szCs w:val="22"/>
        </w:rPr>
        <w:t>回复</w:t>
      </w:r>
      <w:r w:rsidR="005125BC" w:rsidRPr="007E0CC2">
        <w:rPr>
          <w:rFonts w:asciiTheme="minorEastAsia" w:eastAsiaTheme="minorEastAsia" w:hAnsiTheme="minorEastAsia" w:hint="eastAsia"/>
          <w:b/>
          <w:sz w:val="22"/>
          <w:szCs w:val="22"/>
        </w:rPr>
        <w:t>：</w:t>
      </w:r>
    </w:p>
    <w:p w:rsidR="005125BC" w:rsidRPr="007E0CC2" w:rsidRDefault="003B43CD" w:rsidP="0066335F">
      <w:pPr>
        <w:adjustRightInd w:val="0"/>
        <w:snapToGrid w:val="0"/>
        <w:spacing w:line="360" w:lineRule="auto"/>
        <w:ind w:firstLineChars="200" w:firstLine="440"/>
        <w:rPr>
          <w:rFonts w:asciiTheme="minorEastAsia" w:hAnsiTheme="minorEastAsia"/>
          <w:sz w:val="22"/>
          <w:szCs w:val="22"/>
        </w:rPr>
      </w:pPr>
      <w:r w:rsidRPr="007E0CC2">
        <w:rPr>
          <w:rFonts w:asciiTheme="minorEastAsia" w:hAnsiTheme="minorEastAsia" w:hint="eastAsia"/>
          <w:sz w:val="22"/>
          <w:szCs w:val="22"/>
        </w:rPr>
        <w:t>公司</w:t>
      </w:r>
      <w:r w:rsidR="00C02D20" w:rsidRPr="007E0CC2">
        <w:rPr>
          <w:rFonts w:asciiTheme="minorEastAsia" w:hAnsiTheme="minorEastAsia" w:hint="eastAsia"/>
          <w:sz w:val="22"/>
          <w:szCs w:val="22"/>
        </w:rPr>
        <w:t>在</w:t>
      </w:r>
      <w:r w:rsidRPr="007E0CC2">
        <w:rPr>
          <w:rFonts w:asciiTheme="minorEastAsia" w:hAnsiTheme="minorEastAsia" w:hint="eastAsia"/>
          <w:sz w:val="22"/>
          <w:szCs w:val="22"/>
        </w:rPr>
        <w:t>境外</w:t>
      </w:r>
      <w:r w:rsidR="00C02D20" w:rsidRPr="007E0CC2">
        <w:rPr>
          <w:rFonts w:asciiTheme="minorEastAsia" w:hAnsiTheme="minorEastAsia" w:hint="eastAsia"/>
          <w:sz w:val="22"/>
          <w:szCs w:val="22"/>
        </w:rPr>
        <w:t>设立</w:t>
      </w:r>
      <w:r w:rsidRPr="007E0CC2">
        <w:rPr>
          <w:rFonts w:asciiTheme="minorEastAsia" w:hAnsiTheme="minorEastAsia"/>
          <w:sz w:val="22"/>
          <w:szCs w:val="22"/>
        </w:rPr>
        <w:t>子公司</w:t>
      </w:r>
      <w:r w:rsidR="003B415E" w:rsidRPr="007E0CC2">
        <w:rPr>
          <w:rFonts w:asciiTheme="minorEastAsia" w:hAnsiTheme="minorEastAsia"/>
          <w:sz w:val="22"/>
          <w:szCs w:val="22"/>
        </w:rPr>
        <w:t>主要是为了</w:t>
      </w:r>
      <w:r w:rsidRPr="007E0CC2">
        <w:rPr>
          <w:rFonts w:asciiTheme="minorEastAsia" w:hAnsiTheme="minorEastAsia" w:hint="eastAsia"/>
          <w:sz w:val="22"/>
          <w:szCs w:val="22"/>
        </w:rPr>
        <w:t>配合公司未来海外医药行业的业务</w:t>
      </w:r>
      <w:r w:rsidR="003B415E" w:rsidRPr="007E0CC2">
        <w:rPr>
          <w:rFonts w:asciiTheme="minorEastAsia" w:hAnsiTheme="minorEastAsia" w:hint="eastAsia"/>
          <w:sz w:val="22"/>
          <w:szCs w:val="22"/>
        </w:rPr>
        <w:t>开展需要，</w:t>
      </w:r>
      <w:r w:rsidR="00C02D20" w:rsidRPr="007E0CC2">
        <w:rPr>
          <w:rFonts w:asciiTheme="minorEastAsia" w:hAnsiTheme="minorEastAsia" w:hint="eastAsia"/>
          <w:sz w:val="22"/>
          <w:szCs w:val="22"/>
        </w:rPr>
        <w:t>帮助公司</w:t>
      </w:r>
      <w:r w:rsidR="00622BBA" w:rsidRPr="007E0CC2">
        <w:rPr>
          <w:rFonts w:asciiTheme="minorEastAsia" w:hAnsiTheme="minorEastAsia" w:hint="eastAsia"/>
          <w:sz w:val="22"/>
          <w:szCs w:val="22"/>
        </w:rPr>
        <w:t>通过境外</w:t>
      </w:r>
      <w:r w:rsidRPr="007E0CC2">
        <w:rPr>
          <w:rFonts w:asciiTheme="minorEastAsia" w:hAnsiTheme="minorEastAsia" w:hint="eastAsia"/>
          <w:sz w:val="22"/>
          <w:szCs w:val="22"/>
        </w:rPr>
        <w:t>市场的窗口展望全球</w:t>
      </w:r>
      <w:r w:rsidR="00C02D20" w:rsidRPr="007E0CC2">
        <w:rPr>
          <w:rFonts w:asciiTheme="minorEastAsia" w:hAnsiTheme="minorEastAsia" w:hint="eastAsia"/>
          <w:sz w:val="22"/>
          <w:szCs w:val="22"/>
        </w:rPr>
        <w:t>，</w:t>
      </w:r>
      <w:r w:rsidR="003B415E" w:rsidRPr="007E0CC2">
        <w:rPr>
          <w:rFonts w:asciiTheme="minorEastAsia" w:hAnsiTheme="minorEastAsia" w:hint="eastAsia"/>
          <w:sz w:val="22"/>
          <w:szCs w:val="22"/>
        </w:rPr>
        <w:t>以在全球医药市场中赢得商机，</w:t>
      </w:r>
      <w:r w:rsidR="00C02D20" w:rsidRPr="007E0CC2">
        <w:rPr>
          <w:rFonts w:asciiTheme="minorEastAsia" w:hAnsiTheme="minorEastAsia" w:hint="eastAsia"/>
          <w:sz w:val="22"/>
          <w:szCs w:val="22"/>
        </w:rPr>
        <w:t>为</w:t>
      </w:r>
      <w:r w:rsidR="003B415E" w:rsidRPr="007E0CC2">
        <w:rPr>
          <w:rFonts w:asciiTheme="minorEastAsia" w:hAnsiTheme="minorEastAsia" w:hint="eastAsia"/>
          <w:sz w:val="22"/>
          <w:szCs w:val="22"/>
        </w:rPr>
        <w:t>公司</w:t>
      </w:r>
      <w:r w:rsidR="00C02D20" w:rsidRPr="007E0CC2">
        <w:rPr>
          <w:rFonts w:asciiTheme="minorEastAsia" w:hAnsiTheme="minorEastAsia" w:hint="eastAsia"/>
          <w:sz w:val="22"/>
          <w:szCs w:val="22"/>
        </w:rPr>
        <w:t>谋求更长远、更全面的发展</w:t>
      </w:r>
      <w:r w:rsidRPr="007E0CC2">
        <w:rPr>
          <w:rFonts w:asciiTheme="minorEastAsia" w:hAnsiTheme="minorEastAsia" w:hint="eastAsia"/>
          <w:sz w:val="22"/>
          <w:szCs w:val="22"/>
        </w:rPr>
        <w:t>。</w:t>
      </w:r>
      <w:r w:rsidR="00B47A7F" w:rsidRPr="007E0CC2">
        <w:rPr>
          <w:rFonts w:asciiTheme="minorEastAsia" w:hAnsiTheme="minorEastAsia" w:hint="eastAsia"/>
          <w:sz w:val="22"/>
          <w:szCs w:val="22"/>
        </w:rPr>
        <w:t>公司</w:t>
      </w:r>
      <w:r w:rsidR="00554295" w:rsidRPr="007E0CC2">
        <w:rPr>
          <w:rFonts w:asciiTheme="minorEastAsia" w:hAnsiTheme="minorEastAsia" w:hint="eastAsia"/>
          <w:sz w:val="22"/>
          <w:szCs w:val="22"/>
        </w:rPr>
        <w:t>前期已与海外公司就医药</w:t>
      </w:r>
      <w:r w:rsidR="00535B02" w:rsidRPr="007E0CC2">
        <w:rPr>
          <w:rFonts w:asciiTheme="minorEastAsia" w:hAnsiTheme="minorEastAsia" w:hint="eastAsia"/>
          <w:sz w:val="22"/>
          <w:szCs w:val="22"/>
        </w:rPr>
        <w:t>（如生物制药等）</w:t>
      </w:r>
      <w:r w:rsidR="00554295" w:rsidRPr="007E0CC2">
        <w:rPr>
          <w:rFonts w:asciiTheme="minorEastAsia" w:hAnsiTheme="minorEastAsia" w:hint="eastAsia"/>
          <w:sz w:val="22"/>
          <w:szCs w:val="22"/>
        </w:rPr>
        <w:t>开发及生产相关的合作项目及投资计划进行谈判和磋商</w:t>
      </w:r>
      <w:r w:rsidR="007B07D2" w:rsidRPr="007E0CC2">
        <w:rPr>
          <w:rFonts w:asciiTheme="minorEastAsia" w:hAnsiTheme="minorEastAsia" w:hint="eastAsia"/>
          <w:sz w:val="22"/>
          <w:szCs w:val="22"/>
        </w:rPr>
        <w:t>，但尚未达成正式的合作</w:t>
      </w:r>
      <w:r w:rsidR="00554295" w:rsidRPr="007E0CC2">
        <w:rPr>
          <w:rFonts w:asciiTheme="minorEastAsia" w:hAnsiTheme="minorEastAsia" w:hint="eastAsia"/>
          <w:sz w:val="22"/>
          <w:szCs w:val="22"/>
        </w:rPr>
        <w:t>。</w:t>
      </w:r>
      <w:r w:rsidR="007B07D2" w:rsidRPr="007E0CC2">
        <w:rPr>
          <w:rFonts w:asciiTheme="minorEastAsia" w:hAnsiTheme="minorEastAsia" w:hint="eastAsia"/>
          <w:sz w:val="22"/>
          <w:szCs w:val="22"/>
        </w:rPr>
        <w:t>此外，因</w:t>
      </w:r>
      <w:r w:rsidR="003B415E" w:rsidRPr="007E0CC2">
        <w:rPr>
          <w:rFonts w:asciiTheme="minorEastAsia" w:hAnsiTheme="minorEastAsia" w:hint="eastAsia"/>
          <w:sz w:val="22"/>
          <w:szCs w:val="22"/>
        </w:rPr>
        <w:t>近年</w:t>
      </w:r>
      <w:r w:rsidR="007B07D2" w:rsidRPr="007E0CC2">
        <w:rPr>
          <w:rFonts w:asciiTheme="minorEastAsia" w:hAnsiTheme="minorEastAsia" w:hint="eastAsia"/>
          <w:sz w:val="22"/>
          <w:szCs w:val="22"/>
        </w:rPr>
        <w:t>受海外政策变动较大</w:t>
      </w:r>
      <w:r w:rsidR="003B415E" w:rsidRPr="007E0CC2">
        <w:rPr>
          <w:rFonts w:asciiTheme="minorEastAsia" w:hAnsiTheme="minorEastAsia" w:hint="eastAsia"/>
          <w:sz w:val="22"/>
          <w:szCs w:val="22"/>
        </w:rPr>
        <w:t>以及</w:t>
      </w:r>
      <w:r w:rsidR="00DC3775" w:rsidRPr="007E0CC2">
        <w:rPr>
          <w:rFonts w:asciiTheme="minorEastAsia" w:hAnsiTheme="minorEastAsia" w:hint="eastAsia"/>
          <w:sz w:val="22"/>
          <w:szCs w:val="22"/>
        </w:rPr>
        <w:t>医</w:t>
      </w:r>
      <w:r w:rsidR="003B415E" w:rsidRPr="007E0CC2">
        <w:rPr>
          <w:rFonts w:asciiTheme="minorEastAsia" w:hAnsiTheme="minorEastAsia" w:hint="eastAsia"/>
          <w:sz w:val="22"/>
          <w:szCs w:val="22"/>
        </w:rPr>
        <w:t>药市场发生变化，</w:t>
      </w:r>
      <w:r w:rsidR="003B415E" w:rsidRPr="007E0CC2">
        <w:rPr>
          <w:rFonts w:hint="eastAsia"/>
          <w:sz w:val="22"/>
          <w:szCs w:val="22"/>
        </w:rPr>
        <w:t>公司</w:t>
      </w:r>
      <w:r w:rsidR="00CD76DA" w:rsidRPr="007E0CC2">
        <w:rPr>
          <w:rFonts w:hint="eastAsia"/>
          <w:sz w:val="22"/>
          <w:szCs w:val="22"/>
        </w:rPr>
        <w:t>尚需</w:t>
      </w:r>
      <w:r w:rsidR="00622BBA" w:rsidRPr="007E0CC2">
        <w:rPr>
          <w:rFonts w:hint="eastAsia"/>
          <w:sz w:val="22"/>
          <w:szCs w:val="22"/>
        </w:rPr>
        <w:t>持续关注</w:t>
      </w:r>
      <w:r w:rsidR="003B415E" w:rsidRPr="007E0CC2">
        <w:rPr>
          <w:rFonts w:hint="eastAsia"/>
          <w:sz w:val="22"/>
          <w:szCs w:val="22"/>
        </w:rPr>
        <w:t>境外市场及法规政策</w:t>
      </w:r>
      <w:r w:rsidR="00622BBA" w:rsidRPr="007E0CC2">
        <w:rPr>
          <w:rFonts w:hint="eastAsia"/>
          <w:sz w:val="22"/>
          <w:szCs w:val="22"/>
        </w:rPr>
        <w:t>等</w:t>
      </w:r>
      <w:r w:rsidR="00AE0434" w:rsidRPr="007E0CC2">
        <w:rPr>
          <w:rFonts w:hint="eastAsia"/>
          <w:sz w:val="22"/>
          <w:szCs w:val="22"/>
        </w:rPr>
        <w:t>因素</w:t>
      </w:r>
      <w:r w:rsidR="003B415E" w:rsidRPr="007E0CC2">
        <w:rPr>
          <w:rFonts w:hint="eastAsia"/>
          <w:sz w:val="22"/>
          <w:szCs w:val="22"/>
        </w:rPr>
        <w:t>的影响，</w:t>
      </w:r>
      <w:r w:rsidR="0066335F" w:rsidRPr="007E0CC2">
        <w:rPr>
          <w:rFonts w:hint="eastAsia"/>
          <w:sz w:val="22"/>
          <w:szCs w:val="22"/>
        </w:rPr>
        <w:t>以</w:t>
      </w:r>
      <w:r w:rsidR="0066335F" w:rsidRPr="007E0CC2">
        <w:rPr>
          <w:rFonts w:asciiTheme="minorEastAsia" w:hAnsiTheme="minorEastAsia" w:hint="eastAsia"/>
          <w:sz w:val="22"/>
          <w:szCs w:val="22"/>
        </w:rPr>
        <w:t>提高</w:t>
      </w:r>
      <w:r w:rsidR="00554295" w:rsidRPr="007E0CC2">
        <w:rPr>
          <w:rFonts w:asciiTheme="minorEastAsia" w:hAnsiTheme="minorEastAsia" w:hint="eastAsia"/>
          <w:sz w:val="22"/>
          <w:szCs w:val="22"/>
        </w:rPr>
        <w:t>投资</w:t>
      </w:r>
      <w:r w:rsidR="0066335F" w:rsidRPr="007E0CC2">
        <w:rPr>
          <w:rFonts w:asciiTheme="minorEastAsia" w:hAnsiTheme="minorEastAsia" w:hint="eastAsia"/>
          <w:sz w:val="22"/>
          <w:szCs w:val="22"/>
        </w:rPr>
        <w:t>效率，</w:t>
      </w:r>
      <w:r w:rsidR="00AE0434" w:rsidRPr="007E0CC2">
        <w:rPr>
          <w:rFonts w:hint="eastAsia"/>
          <w:sz w:val="22"/>
          <w:szCs w:val="22"/>
        </w:rPr>
        <w:t>保证</w:t>
      </w:r>
      <w:r w:rsidR="00683DEC" w:rsidRPr="007E0CC2">
        <w:rPr>
          <w:rFonts w:hint="eastAsia"/>
          <w:sz w:val="22"/>
          <w:szCs w:val="22"/>
        </w:rPr>
        <w:t>公司</w:t>
      </w:r>
      <w:r w:rsidR="00AE0434" w:rsidRPr="007E0CC2">
        <w:rPr>
          <w:rFonts w:hint="eastAsia"/>
          <w:sz w:val="22"/>
          <w:szCs w:val="22"/>
        </w:rPr>
        <w:t>及股东</w:t>
      </w:r>
      <w:r w:rsidR="00683DEC" w:rsidRPr="007E0CC2">
        <w:rPr>
          <w:rFonts w:hint="eastAsia"/>
          <w:sz w:val="22"/>
          <w:szCs w:val="22"/>
        </w:rPr>
        <w:t>利益</w:t>
      </w:r>
      <w:r w:rsidR="00AE0434" w:rsidRPr="007E0CC2">
        <w:rPr>
          <w:rFonts w:hint="eastAsia"/>
          <w:sz w:val="22"/>
          <w:szCs w:val="22"/>
        </w:rPr>
        <w:t>最大化</w:t>
      </w:r>
      <w:r w:rsidR="00554295" w:rsidRPr="007E0CC2">
        <w:rPr>
          <w:rFonts w:hint="eastAsia"/>
          <w:sz w:val="22"/>
          <w:szCs w:val="22"/>
        </w:rPr>
        <w:t>，故公司的境外子公司尚未签署任何投资或合作协议，也未有实际经营活动</w:t>
      </w:r>
      <w:r w:rsidR="00AE0434" w:rsidRPr="007E0CC2">
        <w:rPr>
          <w:rFonts w:hint="eastAsia"/>
          <w:sz w:val="22"/>
          <w:szCs w:val="22"/>
        </w:rPr>
        <w:t>。</w:t>
      </w:r>
    </w:p>
    <w:p w:rsidR="008B64FD" w:rsidRPr="007E0CC2" w:rsidRDefault="008B64FD" w:rsidP="00AF6904">
      <w:pPr>
        <w:adjustRightInd w:val="0"/>
        <w:snapToGrid w:val="0"/>
        <w:spacing w:line="360" w:lineRule="auto"/>
        <w:rPr>
          <w:rFonts w:hAnsi="宋体"/>
          <w:sz w:val="22"/>
          <w:szCs w:val="22"/>
        </w:rPr>
      </w:pPr>
    </w:p>
    <w:p w:rsidR="005125BC" w:rsidRPr="007E0CC2" w:rsidRDefault="00815BD3"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7.</w:t>
      </w:r>
      <w:r w:rsidR="00A1703B" w:rsidRPr="007E0CC2">
        <w:rPr>
          <w:rFonts w:asciiTheme="minorEastAsia" w:eastAsiaTheme="minorEastAsia" w:hAnsiTheme="minorEastAsia" w:hint="eastAsia"/>
          <w:b/>
          <w:sz w:val="22"/>
          <w:szCs w:val="24"/>
        </w:rPr>
        <w:t>存货及跌价准备。</w:t>
      </w:r>
      <w:r w:rsidR="00007CE6" w:rsidRPr="007E0CC2">
        <w:rPr>
          <w:rFonts w:asciiTheme="minorEastAsia" w:eastAsiaTheme="minorEastAsia" w:hAnsiTheme="minorEastAsia" w:hint="eastAsia"/>
          <w:b/>
          <w:sz w:val="22"/>
          <w:szCs w:val="24"/>
        </w:rPr>
        <w:t>年报显示，公司存货账面余额13.88亿元，其中原材料10.08亿元，占比73%，</w:t>
      </w:r>
      <w:proofErr w:type="gramStart"/>
      <w:r w:rsidR="00007CE6" w:rsidRPr="007E0CC2">
        <w:rPr>
          <w:rFonts w:asciiTheme="minorEastAsia" w:eastAsiaTheme="minorEastAsia" w:hAnsiTheme="minorEastAsia" w:hint="eastAsia"/>
          <w:b/>
          <w:sz w:val="22"/>
          <w:szCs w:val="24"/>
        </w:rPr>
        <w:t>本期仅</w:t>
      </w:r>
      <w:proofErr w:type="gramEnd"/>
      <w:r w:rsidR="00007CE6" w:rsidRPr="007E0CC2">
        <w:rPr>
          <w:rFonts w:asciiTheme="minorEastAsia" w:eastAsiaTheme="minorEastAsia" w:hAnsiTheme="minorEastAsia" w:hint="eastAsia"/>
          <w:b/>
          <w:sz w:val="22"/>
          <w:szCs w:val="24"/>
        </w:rPr>
        <w:t>库存商品计提跌价准备3万元。请公司：</w:t>
      </w:r>
    </w:p>
    <w:p w:rsidR="00A1703B" w:rsidRPr="007E0CC2" w:rsidRDefault="00A1703B" w:rsidP="00937948">
      <w:pPr>
        <w:adjustRightInd w:val="0"/>
        <w:snapToGrid w:val="0"/>
        <w:spacing w:line="360" w:lineRule="auto"/>
        <w:ind w:firstLineChars="200" w:firstLine="442"/>
        <w:rPr>
          <w:rFonts w:asciiTheme="minorEastAsia" w:eastAsiaTheme="minorEastAsia" w:hAnsiTheme="minorEastAsia"/>
          <w:b/>
          <w:sz w:val="22"/>
          <w:szCs w:val="24"/>
          <w:u w:val="single"/>
        </w:rPr>
      </w:pPr>
      <w:r w:rsidRPr="007E0CC2">
        <w:rPr>
          <w:rFonts w:asciiTheme="minorEastAsia" w:eastAsiaTheme="minorEastAsia" w:hAnsiTheme="minorEastAsia" w:hint="eastAsia"/>
          <w:b/>
          <w:sz w:val="22"/>
          <w:szCs w:val="24"/>
        </w:rPr>
        <w:t>（</w:t>
      </w:r>
      <w:r w:rsidR="00007CE6" w:rsidRPr="007E0CC2">
        <w:rPr>
          <w:rFonts w:asciiTheme="minorEastAsia" w:eastAsiaTheme="minorEastAsia" w:hAnsiTheme="minorEastAsia" w:hint="eastAsia"/>
          <w:b/>
          <w:sz w:val="22"/>
          <w:szCs w:val="24"/>
        </w:rPr>
        <w:t>4</w:t>
      </w:r>
      <w:r w:rsidRPr="007E0CC2">
        <w:rPr>
          <w:rFonts w:asciiTheme="minorEastAsia" w:eastAsiaTheme="minorEastAsia" w:hAnsiTheme="minorEastAsia" w:hint="eastAsia"/>
          <w:b/>
          <w:sz w:val="22"/>
          <w:szCs w:val="24"/>
        </w:rPr>
        <w:t>）</w:t>
      </w:r>
      <w:r w:rsidR="00007CE6" w:rsidRPr="007E0CC2">
        <w:rPr>
          <w:rFonts w:asciiTheme="minorEastAsia" w:eastAsiaTheme="minorEastAsia" w:hAnsiTheme="minorEastAsia" w:hint="eastAsia"/>
          <w:b/>
          <w:sz w:val="22"/>
          <w:szCs w:val="24"/>
        </w:rPr>
        <w:t>结合各类存货的价格变化、保质期、库龄、用途等因素，说明存货跌价准备计提的充分性及未来是否存在减值风险。</w:t>
      </w:r>
    </w:p>
    <w:p w:rsidR="005125BC" w:rsidRPr="007E0CC2" w:rsidRDefault="00554295" w:rsidP="00A1703B">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补充</w:t>
      </w:r>
      <w:r w:rsidR="005125BC" w:rsidRPr="007E0CC2">
        <w:rPr>
          <w:rFonts w:asciiTheme="minorEastAsia" w:eastAsiaTheme="minorEastAsia" w:hAnsiTheme="minorEastAsia" w:hint="eastAsia"/>
          <w:b/>
          <w:sz w:val="22"/>
          <w:szCs w:val="24"/>
        </w:rPr>
        <w:t>回复：</w:t>
      </w:r>
    </w:p>
    <w:p w:rsidR="00007CE6" w:rsidRPr="007E0CC2" w:rsidRDefault="00C9783F" w:rsidP="00554295">
      <w:pPr>
        <w:adjustRightInd w:val="0"/>
        <w:snapToGrid w:val="0"/>
        <w:spacing w:line="360" w:lineRule="auto"/>
        <w:ind w:firstLineChars="200" w:firstLine="440"/>
        <w:rPr>
          <w:rFonts w:hAnsi="宋体"/>
          <w:sz w:val="22"/>
          <w:szCs w:val="22"/>
        </w:rPr>
      </w:pPr>
      <w:r w:rsidRPr="007E0CC2">
        <w:rPr>
          <w:rFonts w:asciiTheme="minorEastAsia" w:eastAsiaTheme="minorEastAsia" w:hAnsiTheme="minorEastAsia" w:hint="eastAsia"/>
          <w:sz w:val="22"/>
          <w:szCs w:val="24"/>
        </w:rPr>
        <w:t>1）</w:t>
      </w:r>
      <w:r w:rsidR="00FD1030" w:rsidRPr="007E0CC2">
        <w:rPr>
          <w:rFonts w:hAnsi="宋体" w:hint="eastAsia"/>
          <w:sz w:val="22"/>
          <w:szCs w:val="22"/>
        </w:rPr>
        <w:t>公司主要原材料为全蝎、水蛭、三七、琥珀等，受市场行情影响，主要原材料价格波动较大，从</w:t>
      </w:r>
      <w:r w:rsidR="00FD1030" w:rsidRPr="007E0CC2">
        <w:rPr>
          <w:rFonts w:hAnsi="宋体" w:hint="eastAsia"/>
          <w:sz w:val="22"/>
          <w:szCs w:val="22"/>
        </w:rPr>
        <w:t>2018</w:t>
      </w:r>
      <w:r w:rsidR="00FD1030" w:rsidRPr="007E0CC2">
        <w:rPr>
          <w:rFonts w:hAnsi="宋体" w:hint="eastAsia"/>
          <w:sz w:val="22"/>
          <w:szCs w:val="22"/>
        </w:rPr>
        <w:t>年度看，三七价格下降比较明显，全蝎、水蛭价格呈现小幅下降趋势，琥珀价格增幅较大；但</w:t>
      </w:r>
      <w:r w:rsidR="00007CE6" w:rsidRPr="007E0CC2">
        <w:rPr>
          <w:rFonts w:hAnsi="宋体" w:hint="eastAsia"/>
          <w:sz w:val="22"/>
          <w:szCs w:val="22"/>
        </w:rPr>
        <w:t>由于</w:t>
      </w:r>
      <w:bookmarkStart w:id="0" w:name="_Hlk9764841"/>
      <w:r w:rsidR="00007CE6" w:rsidRPr="007E0CC2">
        <w:rPr>
          <w:rFonts w:hAnsi="宋体" w:hint="eastAsia"/>
          <w:sz w:val="22"/>
          <w:szCs w:val="22"/>
        </w:rPr>
        <w:t>上述原材料生产产品脑心通和稳心颗粒为公司主要产品，近几年销售情况较好，市场需求量大，毛利率高，其可变现净值高于成本，因此对应原材料不存在减值迹象</w:t>
      </w:r>
      <w:bookmarkEnd w:id="0"/>
      <w:r w:rsidR="00007CE6" w:rsidRPr="007E0CC2">
        <w:rPr>
          <w:rFonts w:hAnsi="宋体" w:hint="eastAsia"/>
          <w:sz w:val="22"/>
          <w:szCs w:val="22"/>
        </w:rPr>
        <w:t>，公司</w:t>
      </w:r>
      <w:r w:rsidR="00007CE6" w:rsidRPr="007E0CC2">
        <w:rPr>
          <w:rFonts w:hAnsi="宋体" w:hint="eastAsia"/>
          <w:sz w:val="22"/>
          <w:szCs w:val="22"/>
        </w:rPr>
        <w:t>2018</w:t>
      </w:r>
      <w:r w:rsidR="00007CE6" w:rsidRPr="007E0CC2">
        <w:rPr>
          <w:rFonts w:hAnsi="宋体" w:hint="eastAsia"/>
          <w:sz w:val="22"/>
          <w:szCs w:val="22"/>
        </w:rPr>
        <w:t>年末未对上述主要原材料计提跌价准备。</w:t>
      </w:r>
    </w:p>
    <w:p w:rsidR="00007CE6" w:rsidRPr="007E0CC2" w:rsidRDefault="00007CE6" w:rsidP="00554295">
      <w:pPr>
        <w:spacing w:line="360" w:lineRule="auto"/>
        <w:ind w:firstLineChars="200" w:firstLine="440"/>
        <w:rPr>
          <w:rFonts w:hAnsi="宋体"/>
          <w:sz w:val="22"/>
          <w:szCs w:val="22"/>
          <w:highlight w:val="cyan"/>
        </w:rPr>
      </w:pPr>
      <w:r w:rsidRPr="007E0CC2">
        <w:rPr>
          <w:rFonts w:hAnsi="宋体" w:hint="eastAsia"/>
          <w:sz w:val="22"/>
          <w:szCs w:val="22"/>
        </w:rPr>
        <w:t>2</w:t>
      </w:r>
      <w:r w:rsidRPr="007E0CC2">
        <w:rPr>
          <w:rFonts w:hAnsi="宋体" w:hint="eastAsia"/>
          <w:sz w:val="22"/>
          <w:szCs w:val="22"/>
        </w:rPr>
        <w:t>）</w:t>
      </w:r>
      <w:r w:rsidR="00FD1030" w:rsidRPr="007E0CC2">
        <w:rPr>
          <w:rFonts w:hAnsi="宋体" w:hint="eastAsia"/>
          <w:sz w:val="22"/>
          <w:szCs w:val="22"/>
        </w:rPr>
        <w:t>库存商品主要为主要产品脑心通、稳心颗粒、丹红</w:t>
      </w:r>
      <w:r w:rsidR="00572664" w:rsidRPr="007E0CC2">
        <w:rPr>
          <w:rFonts w:hAnsi="宋体" w:hint="eastAsia"/>
          <w:sz w:val="22"/>
          <w:szCs w:val="22"/>
        </w:rPr>
        <w:t>注射液，</w:t>
      </w:r>
      <w:proofErr w:type="gramStart"/>
      <w:r w:rsidR="00572664" w:rsidRPr="007E0CC2">
        <w:rPr>
          <w:rFonts w:hAnsi="宋体" w:hint="eastAsia"/>
          <w:sz w:val="22"/>
          <w:szCs w:val="22"/>
        </w:rPr>
        <w:t>谷红注射液</w:t>
      </w:r>
      <w:proofErr w:type="gramEnd"/>
      <w:r w:rsidR="00572664" w:rsidRPr="007E0CC2">
        <w:rPr>
          <w:rFonts w:hAnsi="宋体" w:hint="eastAsia"/>
          <w:sz w:val="22"/>
          <w:szCs w:val="22"/>
        </w:rPr>
        <w:t>、复方脑肽节</w:t>
      </w:r>
      <w:proofErr w:type="gramStart"/>
      <w:r w:rsidR="00572664" w:rsidRPr="007E0CC2">
        <w:rPr>
          <w:rFonts w:hAnsi="宋体" w:hint="eastAsia"/>
          <w:sz w:val="22"/>
          <w:szCs w:val="22"/>
        </w:rPr>
        <w:t>苷</w:t>
      </w:r>
      <w:proofErr w:type="gramEnd"/>
      <w:r w:rsidR="00572664" w:rsidRPr="007E0CC2">
        <w:rPr>
          <w:rFonts w:hAnsi="宋体" w:hint="eastAsia"/>
          <w:sz w:val="22"/>
          <w:szCs w:val="22"/>
        </w:rPr>
        <w:t>脂注射液以及复方曲肽注射液，公司主要产品价格相对稳定</w:t>
      </w:r>
      <w:r w:rsidR="00FD1030" w:rsidRPr="007E0CC2">
        <w:rPr>
          <w:rFonts w:hAnsi="宋体" w:hint="eastAsia"/>
          <w:sz w:val="22"/>
          <w:szCs w:val="22"/>
        </w:rPr>
        <w:t>。</w:t>
      </w:r>
      <w:r w:rsidRPr="007E0CC2">
        <w:rPr>
          <w:rFonts w:hAnsi="宋体" w:hint="eastAsia"/>
          <w:sz w:val="22"/>
          <w:szCs w:val="22"/>
        </w:rPr>
        <w:t>如上所述公司主要产品近几年销售情况较好，市场需求量大、毛利率高，正常库存</w:t>
      </w:r>
      <w:proofErr w:type="gramStart"/>
      <w:r w:rsidRPr="007E0CC2">
        <w:rPr>
          <w:rFonts w:hAnsi="宋体" w:hint="eastAsia"/>
          <w:sz w:val="22"/>
          <w:szCs w:val="22"/>
        </w:rPr>
        <w:t>商品库龄均为</w:t>
      </w:r>
      <w:proofErr w:type="gramEnd"/>
      <w:r w:rsidRPr="007E0CC2">
        <w:rPr>
          <w:rFonts w:hAnsi="宋体" w:hint="eastAsia"/>
          <w:sz w:val="22"/>
          <w:szCs w:val="22"/>
        </w:rPr>
        <w:t>1</w:t>
      </w:r>
      <w:r w:rsidRPr="007E0CC2">
        <w:rPr>
          <w:rFonts w:hAnsi="宋体" w:hint="eastAsia"/>
          <w:sz w:val="22"/>
          <w:szCs w:val="22"/>
        </w:rPr>
        <w:t>年以内，公司</w:t>
      </w:r>
      <w:proofErr w:type="gramStart"/>
      <w:r w:rsidRPr="007E0CC2">
        <w:rPr>
          <w:rFonts w:hAnsi="宋体" w:hint="eastAsia"/>
          <w:sz w:val="22"/>
          <w:szCs w:val="22"/>
        </w:rPr>
        <w:t>期末对</w:t>
      </w:r>
      <w:proofErr w:type="gramEnd"/>
      <w:r w:rsidRPr="007E0CC2">
        <w:rPr>
          <w:rFonts w:hAnsi="宋体" w:hint="eastAsia"/>
          <w:sz w:val="22"/>
          <w:szCs w:val="22"/>
        </w:rPr>
        <w:t>库存商品进行了跌价测试，测试显示存货的可变现净值几乎均高于成本，因此不存在减值迹象，公司</w:t>
      </w:r>
      <w:r w:rsidRPr="007E0CC2">
        <w:rPr>
          <w:rFonts w:hAnsi="宋体" w:hint="eastAsia"/>
          <w:sz w:val="22"/>
          <w:szCs w:val="22"/>
        </w:rPr>
        <w:t>2018</w:t>
      </w:r>
      <w:r w:rsidRPr="007E0CC2">
        <w:rPr>
          <w:rFonts w:hAnsi="宋体" w:hint="eastAsia"/>
          <w:sz w:val="22"/>
          <w:szCs w:val="22"/>
        </w:rPr>
        <w:t>年末未对</w:t>
      </w:r>
      <w:r w:rsidRPr="007E0CC2">
        <w:rPr>
          <w:rFonts w:hAnsi="宋体" w:hint="eastAsia"/>
          <w:sz w:val="22"/>
          <w:szCs w:val="22"/>
        </w:rPr>
        <w:t>1</w:t>
      </w:r>
      <w:r w:rsidRPr="007E0CC2">
        <w:rPr>
          <w:rFonts w:hAnsi="宋体" w:hint="eastAsia"/>
          <w:sz w:val="22"/>
          <w:szCs w:val="22"/>
        </w:rPr>
        <w:t>年以内库存商品计提跌价准备；</w:t>
      </w:r>
      <w:r w:rsidRPr="007E0CC2">
        <w:rPr>
          <w:rFonts w:hAnsi="宋体" w:hint="eastAsia"/>
          <w:sz w:val="22"/>
          <w:szCs w:val="22"/>
        </w:rPr>
        <w:t>1</w:t>
      </w:r>
      <w:r w:rsidRPr="007E0CC2">
        <w:rPr>
          <w:rFonts w:hAnsi="宋体" w:hint="eastAsia"/>
          <w:sz w:val="22"/>
          <w:szCs w:val="22"/>
        </w:rPr>
        <w:t>年以上库存商品为失效产品，公司已全额计提跌价准备。</w:t>
      </w:r>
    </w:p>
    <w:p w:rsidR="00007CE6" w:rsidRPr="007E0CC2" w:rsidRDefault="00007CE6" w:rsidP="00007CE6">
      <w:pPr>
        <w:spacing w:line="360" w:lineRule="auto"/>
        <w:ind w:firstLineChars="200" w:firstLine="440"/>
        <w:rPr>
          <w:rFonts w:hAnsi="宋体"/>
          <w:szCs w:val="22"/>
        </w:rPr>
      </w:pPr>
      <w:r w:rsidRPr="007E0CC2">
        <w:rPr>
          <w:rFonts w:hAnsi="宋体"/>
          <w:sz w:val="22"/>
          <w:szCs w:val="22"/>
        </w:rPr>
        <w:t>在产品均为公司主要产品的中间品</w:t>
      </w:r>
      <w:r w:rsidRPr="007E0CC2">
        <w:rPr>
          <w:rFonts w:hAnsi="宋体" w:hint="eastAsia"/>
          <w:sz w:val="22"/>
          <w:szCs w:val="22"/>
        </w:rPr>
        <w:t>，</w:t>
      </w:r>
      <w:r w:rsidRPr="007E0CC2">
        <w:rPr>
          <w:rFonts w:hAnsi="宋体"/>
          <w:sz w:val="22"/>
          <w:szCs w:val="22"/>
        </w:rPr>
        <w:t>由于公司库存商品不存在减值迹象</w:t>
      </w:r>
      <w:r w:rsidRPr="007E0CC2">
        <w:rPr>
          <w:rFonts w:hAnsi="宋体" w:hint="eastAsia"/>
          <w:sz w:val="22"/>
          <w:szCs w:val="22"/>
        </w:rPr>
        <w:t>，</w:t>
      </w:r>
      <w:r w:rsidRPr="007E0CC2">
        <w:rPr>
          <w:rFonts w:hAnsi="宋体"/>
          <w:sz w:val="22"/>
          <w:szCs w:val="22"/>
        </w:rPr>
        <w:t>相关在产品也不存在减值风险</w:t>
      </w:r>
      <w:r w:rsidRPr="007E0CC2">
        <w:rPr>
          <w:rFonts w:hAnsi="宋体" w:hint="eastAsia"/>
          <w:sz w:val="22"/>
          <w:szCs w:val="22"/>
        </w:rPr>
        <w:t>；</w:t>
      </w:r>
      <w:r w:rsidR="00535B02" w:rsidRPr="007E0CC2">
        <w:rPr>
          <w:rFonts w:hAnsi="宋体" w:hint="eastAsia"/>
          <w:sz w:val="22"/>
          <w:szCs w:val="22"/>
        </w:rPr>
        <w:t>公司</w:t>
      </w:r>
      <w:r w:rsidR="00535B02" w:rsidRPr="007E0CC2">
        <w:rPr>
          <w:rFonts w:hAnsi="宋体"/>
          <w:sz w:val="22"/>
          <w:szCs w:val="22"/>
        </w:rPr>
        <w:t>低值易耗品</w:t>
      </w:r>
      <w:r w:rsidR="00535B02" w:rsidRPr="007E0CC2">
        <w:rPr>
          <w:rFonts w:hAnsi="宋体" w:hint="eastAsia"/>
          <w:sz w:val="22"/>
          <w:szCs w:val="22"/>
        </w:rPr>
        <w:t>和包材价格相对稳定，</w:t>
      </w:r>
      <w:r w:rsidRPr="007E0CC2">
        <w:rPr>
          <w:rFonts w:hAnsi="宋体"/>
          <w:sz w:val="22"/>
          <w:szCs w:val="22"/>
        </w:rPr>
        <w:t>低值易耗品和包装</w:t>
      </w:r>
      <w:proofErr w:type="gramStart"/>
      <w:r w:rsidRPr="007E0CC2">
        <w:rPr>
          <w:rFonts w:hAnsi="宋体"/>
          <w:sz w:val="22"/>
          <w:szCs w:val="22"/>
        </w:rPr>
        <w:t>物由于</w:t>
      </w:r>
      <w:proofErr w:type="gramEnd"/>
      <w:r w:rsidRPr="007E0CC2">
        <w:rPr>
          <w:rFonts w:hAnsi="宋体"/>
          <w:sz w:val="22"/>
          <w:szCs w:val="22"/>
        </w:rPr>
        <w:t>使用周转率较快</w:t>
      </w:r>
      <w:r w:rsidRPr="007E0CC2">
        <w:rPr>
          <w:rFonts w:hAnsi="宋体" w:hint="eastAsia"/>
          <w:sz w:val="22"/>
          <w:szCs w:val="22"/>
        </w:rPr>
        <w:t>，</w:t>
      </w:r>
      <w:r w:rsidRPr="007E0CC2">
        <w:rPr>
          <w:rFonts w:hAnsi="宋体"/>
          <w:sz w:val="22"/>
          <w:szCs w:val="22"/>
        </w:rPr>
        <w:t>亦不存在减值风险</w:t>
      </w:r>
      <w:r w:rsidRPr="007E0CC2">
        <w:rPr>
          <w:rFonts w:hAnsi="宋体" w:hint="eastAsia"/>
          <w:sz w:val="22"/>
          <w:szCs w:val="22"/>
        </w:rPr>
        <w:t>。</w:t>
      </w:r>
    </w:p>
    <w:p w:rsidR="00007CE6" w:rsidRPr="007E0CC2" w:rsidRDefault="00007CE6" w:rsidP="00007CE6">
      <w:pPr>
        <w:spacing w:line="360" w:lineRule="auto"/>
        <w:ind w:firstLineChars="200" w:firstLine="440"/>
        <w:rPr>
          <w:rFonts w:hAnsi="宋体"/>
          <w:sz w:val="22"/>
          <w:szCs w:val="22"/>
        </w:rPr>
      </w:pPr>
      <w:r w:rsidRPr="007E0CC2">
        <w:rPr>
          <w:rFonts w:hAnsi="宋体" w:hint="eastAsia"/>
          <w:sz w:val="22"/>
          <w:szCs w:val="22"/>
        </w:rPr>
        <w:t>综上所述，公司已充分计提存货跌价准备。从目前情况判断未来发生减值风险的可能性不大。</w:t>
      </w:r>
    </w:p>
    <w:p w:rsidR="00937948" w:rsidRPr="007E0CC2" w:rsidRDefault="00937948" w:rsidP="00BB5B3E">
      <w:pPr>
        <w:spacing w:line="360" w:lineRule="auto"/>
        <w:ind w:firstLineChars="200" w:firstLine="440"/>
        <w:rPr>
          <w:rFonts w:hAnsi="宋体"/>
          <w:sz w:val="22"/>
          <w:szCs w:val="22"/>
        </w:rPr>
      </w:pPr>
    </w:p>
    <w:p w:rsidR="00007CE6" w:rsidRPr="007E0CC2" w:rsidRDefault="00815BD3"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8.</w:t>
      </w:r>
      <w:r w:rsidR="00A1703B" w:rsidRPr="007E0CC2">
        <w:rPr>
          <w:rFonts w:asciiTheme="minorEastAsia" w:eastAsiaTheme="minorEastAsia" w:hAnsiTheme="minorEastAsia" w:hint="eastAsia"/>
          <w:b/>
          <w:sz w:val="22"/>
          <w:szCs w:val="24"/>
        </w:rPr>
        <w:t>其他往来款。</w:t>
      </w:r>
      <w:r w:rsidR="00007CE6" w:rsidRPr="007E0CC2">
        <w:rPr>
          <w:rFonts w:asciiTheme="minorEastAsia" w:eastAsiaTheme="minorEastAsia" w:hAnsiTheme="minorEastAsia" w:hint="eastAsia"/>
          <w:b/>
          <w:sz w:val="22"/>
          <w:szCs w:val="24"/>
        </w:rPr>
        <w:t>年报显示，其他应收款中，</w:t>
      </w:r>
      <w:proofErr w:type="gramStart"/>
      <w:r w:rsidR="00007CE6" w:rsidRPr="007E0CC2">
        <w:rPr>
          <w:rFonts w:asciiTheme="minorEastAsia" w:eastAsiaTheme="minorEastAsia" w:hAnsiTheme="minorEastAsia" w:hint="eastAsia"/>
          <w:b/>
          <w:sz w:val="22"/>
          <w:szCs w:val="24"/>
        </w:rPr>
        <w:t>按账龄</w:t>
      </w:r>
      <w:proofErr w:type="gramEnd"/>
      <w:r w:rsidR="00007CE6" w:rsidRPr="007E0CC2">
        <w:rPr>
          <w:rFonts w:asciiTheme="minorEastAsia" w:eastAsiaTheme="minorEastAsia" w:hAnsiTheme="minorEastAsia" w:hint="eastAsia"/>
          <w:b/>
          <w:sz w:val="22"/>
          <w:szCs w:val="24"/>
        </w:rPr>
        <w:t>分类的5年以上项目4366万元，按款项性质分类的其他项目2.52亿元；其他应付款中，按款项性质分类的保证金5.22亿元、关联方往来款项2.02亿元、其他项目1.10亿元。请公司：</w:t>
      </w:r>
    </w:p>
    <w:p w:rsidR="00007CE6" w:rsidRPr="007E0CC2" w:rsidRDefault="00007CE6"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（1）补充披露上述往来款的具体形成时间、形成原因、交易对方及其是否为关联方，对于关联方往来款，说明是否收取或支付资金占用费及费率情况；</w:t>
      </w:r>
    </w:p>
    <w:p w:rsidR="00007CE6" w:rsidRPr="007E0CC2" w:rsidRDefault="00007CE6"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b/>
          <w:sz w:val="22"/>
          <w:szCs w:val="24"/>
        </w:rPr>
        <w:t>回复</w:t>
      </w:r>
      <w:r w:rsidRPr="007E0CC2">
        <w:rPr>
          <w:rFonts w:asciiTheme="minorEastAsia" w:eastAsiaTheme="minorEastAsia" w:hAnsiTheme="minorEastAsia" w:hint="eastAsia"/>
          <w:b/>
          <w:sz w:val="22"/>
          <w:szCs w:val="24"/>
        </w:rPr>
        <w:t>：</w:t>
      </w:r>
    </w:p>
    <w:p w:rsidR="00007CE6" w:rsidRPr="007E0CC2" w:rsidRDefault="00007CE6" w:rsidP="00007CE6">
      <w:pPr>
        <w:spacing w:line="360" w:lineRule="auto"/>
        <w:ind w:firstLineChars="200" w:firstLine="440"/>
        <w:rPr>
          <w:rFonts w:hAnsi="宋体"/>
          <w:sz w:val="22"/>
          <w:szCs w:val="22"/>
          <w:u w:val="single"/>
        </w:rPr>
      </w:pPr>
      <w:r w:rsidRPr="007E0CC2">
        <w:rPr>
          <w:rFonts w:hint="eastAsia"/>
          <w:sz w:val="22"/>
          <w:szCs w:val="22"/>
        </w:rPr>
        <w:t>4</w:t>
      </w:r>
      <w:r w:rsidRPr="007E0CC2">
        <w:rPr>
          <w:rFonts w:hint="eastAsia"/>
          <w:sz w:val="22"/>
          <w:szCs w:val="22"/>
        </w:rPr>
        <w:t>）</w:t>
      </w:r>
      <w:r w:rsidRPr="007E0CC2">
        <w:rPr>
          <w:rFonts w:hAnsi="宋体"/>
          <w:sz w:val="22"/>
          <w:szCs w:val="22"/>
        </w:rPr>
        <w:t>关联方往来款项</w:t>
      </w:r>
      <w:r w:rsidRPr="007E0CC2">
        <w:rPr>
          <w:sz w:val="22"/>
          <w:szCs w:val="22"/>
        </w:rPr>
        <w:t>2.02</w:t>
      </w:r>
      <w:r w:rsidRPr="007E0CC2">
        <w:rPr>
          <w:rFonts w:hAnsi="宋体"/>
          <w:sz w:val="22"/>
          <w:szCs w:val="22"/>
        </w:rPr>
        <w:t>亿元</w:t>
      </w:r>
      <w:r w:rsidRPr="007E0CC2">
        <w:rPr>
          <w:rFonts w:hAnsi="宋体" w:hint="eastAsia"/>
          <w:sz w:val="22"/>
          <w:szCs w:val="22"/>
        </w:rPr>
        <w:t>明细如下：</w:t>
      </w:r>
    </w:p>
    <w:p w:rsidR="00007CE6" w:rsidRPr="007E0CC2" w:rsidRDefault="00007CE6" w:rsidP="00007CE6">
      <w:pPr>
        <w:spacing w:line="360" w:lineRule="auto"/>
        <w:ind w:firstLineChars="200" w:firstLine="440"/>
        <w:jc w:val="right"/>
        <w:rPr>
          <w:rFonts w:hAnsi="宋体"/>
          <w:sz w:val="22"/>
          <w:szCs w:val="22"/>
        </w:rPr>
      </w:pPr>
      <w:r w:rsidRPr="007E0CC2">
        <w:rPr>
          <w:rFonts w:hAnsi="宋体"/>
          <w:sz w:val="22"/>
          <w:szCs w:val="22"/>
        </w:rPr>
        <w:t>单位</w:t>
      </w:r>
      <w:r w:rsidRPr="007E0CC2">
        <w:rPr>
          <w:rFonts w:hAnsi="宋体" w:hint="eastAsia"/>
          <w:sz w:val="22"/>
          <w:szCs w:val="22"/>
        </w:rPr>
        <w:t>：万元</w:t>
      </w:r>
    </w:p>
    <w:tbl>
      <w:tblPr>
        <w:tblW w:w="8533" w:type="dxa"/>
        <w:jc w:val="center"/>
        <w:tblBorders>
          <w:top w:val="double" w:sz="4" w:space="0" w:color="auto"/>
          <w:bottom w:val="double" w:sz="4" w:space="0" w:color="auto"/>
          <w:insideH w:val="single" w:sz="2" w:space="0" w:color="auto"/>
          <w:insideV w:val="single" w:sz="2" w:space="0" w:color="auto"/>
        </w:tblBorders>
        <w:tblLayout w:type="fixed"/>
        <w:tblLook w:val="0000" w:firstRow="0" w:lastRow="0" w:firstColumn="0" w:lastColumn="0" w:noHBand="0" w:noVBand="0"/>
      </w:tblPr>
      <w:tblGrid>
        <w:gridCol w:w="2808"/>
        <w:gridCol w:w="1559"/>
        <w:gridCol w:w="1883"/>
        <w:gridCol w:w="2283"/>
      </w:tblGrid>
      <w:tr w:rsidR="007E0CC2" w:rsidRPr="007E0CC2" w:rsidTr="002B351A">
        <w:trPr>
          <w:trHeight w:val="340"/>
          <w:tblHeader/>
          <w:jc w:val="center"/>
        </w:trPr>
        <w:tc>
          <w:tcPr>
            <w:tcW w:w="2808" w:type="dxa"/>
            <w:vAlign w:val="center"/>
          </w:tcPr>
          <w:p w:rsidR="00007CE6" w:rsidRPr="007E0CC2" w:rsidRDefault="00007CE6" w:rsidP="002B351A">
            <w:pPr>
              <w:spacing w:line="360" w:lineRule="exact"/>
              <w:jc w:val="center"/>
              <w:rPr>
                <w:b/>
                <w:szCs w:val="21"/>
              </w:rPr>
            </w:pPr>
            <w:r w:rsidRPr="007E0CC2">
              <w:rPr>
                <w:rFonts w:hAnsi="宋体" w:hint="eastAsia"/>
                <w:b/>
                <w:sz w:val="22"/>
                <w:szCs w:val="22"/>
              </w:rPr>
              <w:t>单位名称</w:t>
            </w:r>
          </w:p>
        </w:tc>
        <w:tc>
          <w:tcPr>
            <w:tcW w:w="1559" w:type="dxa"/>
            <w:vAlign w:val="center"/>
          </w:tcPr>
          <w:p w:rsidR="00007CE6" w:rsidRPr="007E0CC2" w:rsidRDefault="00007CE6" w:rsidP="002B351A">
            <w:pPr>
              <w:spacing w:line="360" w:lineRule="exact"/>
              <w:jc w:val="center"/>
              <w:rPr>
                <w:b/>
                <w:szCs w:val="21"/>
              </w:rPr>
            </w:pPr>
            <w:r w:rsidRPr="007E0CC2">
              <w:rPr>
                <w:rFonts w:hint="eastAsia"/>
                <w:b/>
                <w:szCs w:val="21"/>
              </w:rPr>
              <w:t>年</w:t>
            </w:r>
            <w:r w:rsidRPr="007E0CC2">
              <w:rPr>
                <w:b/>
                <w:szCs w:val="21"/>
              </w:rPr>
              <w:t>末</w:t>
            </w:r>
            <w:r w:rsidRPr="007E0CC2">
              <w:rPr>
                <w:rFonts w:hAnsi="宋体"/>
                <w:b/>
                <w:szCs w:val="21"/>
              </w:rPr>
              <w:t>余额</w:t>
            </w:r>
          </w:p>
        </w:tc>
        <w:tc>
          <w:tcPr>
            <w:tcW w:w="1883" w:type="dxa"/>
          </w:tcPr>
          <w:p w:rsidR="00007CE6" w:rsidRPr="007E0CC2" w:rsidRDefault="00007CE6" w:rsidP="002B351A">
            <w:pPr>
              <w:spacing w:line="360" w:lineRule="exact"/>
              <w:jc w:val="center"/>
              <w:rPr>
                <w:b/>
                <w:szCs w:val="21"/>
              </w:rPr>
            </w:pPr>
            <w:r w:rsidRPr="007E0CC2">
              <w:rPr>
                <w:rFonts w:hint="eastAsia"/>
                <w:b/>
                <w:szCs w:val="21"/>
              </w:rPr>
              <w:t>形成时间</w:t>
            </w:r>
          </w:p>
        </w:tc>
        <w:tc>
          <w:tcPr>
            <w:tcW w:w="2283" w:type="dxa"/>
          </w:tcPr>
          <w:p w:rsidR="00007CE6" w:rsidRPr="007E0CC2" w:rsidRDefault="00007CE6" w:rsidP="002B351A">
            <w:pPr>
              <w:spacing w:line="360" w:lineRule="exact"/>
              <w:jc w:val="center"/>
              <w:rPr>
                <w:b/>
                <w:szCs w:val="21"/>
              </w:rPr>
            </w:pPr>
            <w:r w:rsidRPr="007E0CC2">
              <w:rPr>
                <w:rFonts w:hint="eastAsia"/>
                <w:b/>
                <w:sz w:val="22"/>
                <w:szCs w:val="22"/>
              </w:rPr>
              <w:t>形成原因</w:t>
            </w:r>
          </w:p>
        </w:tc>
      </w:tr>
      <w:tr w:rsidR="007E0CC2" w:rsidRPr="007E0CC2" w:rsidTr="002B351A">
        <w:trPr>
          <w:trHeight w:val="340"/>
          <w:jc w:val="center"/>
        </w:trPr>
        <w:tc>
          <w:tcPr>
            <w:tcW w:w="2808" w:type="dxa"/>
            <w:vAlign w:val="center"/>
          </w:tcPr>
          <w:p w:rsidR="00007CE6" w:rsidRPr="007E0CC2" w:rsidRDefault="00007CE6" w:rsidP="002B351A">
            <w:pPr>
              <w:spacing w:line="360" w:lineRule="exact"/>
              <w:rPr>
                <w:rFonts w:ascii="宋体" w:hAnsi="宋体" w:cs="宋体"/>
                <w:sz w:val="20"/>
              </w:rPr>
            </w:pPr>
            <w:r w:rsidRPr="007E0CC2">
              <w:rPr>
                <w:rFonts w:hint="eastAsia"/>
                <w:sz w:val="20"/>
              </w:rPr>
              <w:t>咸阳长</w:t>
            </w:r>
            <w:proofErr w:type="gramStart"/>
            <w:r w:rsidRPr="007E0CC2">
              <w:rPr>
                <w:rFonts w:hint="eastAsia"/>
                <w:sz w:val="20"/>
              </w:rPr>
              <w:t>涛咨询</w:t>
            </w:r>
            <w:proofErr w:type="gramEnd"/>
            <w:r w:rsidRPr="007E0CC2">
              <w:rPr>
                <w:rFonts w:hint="eastAsia"/>
                <w:sz w:val="20"/>
              </w:rPr>
              <w:t>服务有限公司</w:t>
            </w:r>
          </w:p>
        </w:tc>
        <w:tc>
          <w:tcPr>
            <w:tcW w:w="1559" w:type="dxa"/>
            <w:vAlign w:val="center"/>
          </w:tcPr>
          <w:p w:rsidR="00007CE6" w:rsidRPr="007E0CC2" w:rsidRDefault="00007CE6" w:rsidP="002B351A">
            <w:pPr>
              <w:spacing w:line="360" w:lineRule="exact"/>
              <w:jc w:val="right"/>
              <w:rPr>
                <w:sz w:val="20"/>
              </w:rPr>
            </w:pPr>
            <w:r w:rsidRPr="007E0CC2">
              <w:rPr>
                <w:rFonts w:hint="eastAsia"/>
                <w:sz w:val="22"/>
                <w:szCs w:val="22"/>
              </w:rPr>
              <w:t>11,778.30</w:t>
            </w:r>
          </w:p>
        </w:tc>
        <w:tc>
          <w:tcPr>
            <w:tcW w:w="1883" w:type="dxa"/>
            <w:vAlign w:val="center"/>
          </w:tcPr>
          <w:p w:rsidR="00007CE6" w:rsidRPr="007E0CC2" w:rsidRDefault="00007CE6" w:rsidP="002B351A">
            <w:pPr>
              <w:spacing w:line="360" w:lineRule="exact"/>
              <w:jc w:val="center"/>
              <w:rPr>
                <w:rFonts w:hAnsi="宋体"/>
                <w:kern w:val="0"/>
                <w:szCs w:val="21"/>
              </w:rPr>
            </w:pPr>
            <w:r w:rsidRPr="007E0CC2">
              <w:rPr>
                <w:rFonts w:hAnsi="宋体" w:hint="eastAsia"/>
                <w:kern w:val="0"/>
                <w:szCs w:val="21"/>
              </w:rPr>
              <w:t>2014</w:t>
            </w:r>
            <w:r w:rsidRPr="007E0CC2">
              <w:rPr>
                <w:rFonts w:hAnsi="宋体" w:hint="eastAsia"/>
                <w:kern w:val="0"/>
                <w:szCs w:val="21"/>
              </w:rPr>
              <w:t>年</w:t>
            </w:r>
          </w:p>
        </w:tc>
        <w:tc>
          <w:tcPr>
            <w:tcW w:w="2283" w:type="dxa"/>
            <w:vAlign w:val="center"/>
          </w:tcPr>
          <w:p w:rsidR="00007CE6" w:rsidRPr="007E0CC2" w:rsidRDefault="00007CE6" w:rsidP="002B351A">
            <w:pPr>
              <w:spacing w:line="360" w:lineRule="exact"/>
              <w:jc w:val="center"/>
              <w:rPr>
                <w:rFonts w:hAnsi="宋体"/>
                <w:kern w:val="0"/>
                <w:szCs w:val="21"/>
              </w:rPr>
            </w:pPr>
            <w:r w:rsidRPr="007E0CC2">
              <w:rPr>
                <w:rFonts w:hAnsi="宋体" w:hint="eastAsia"/>
                <w:kern w:val="0"/>
                <w:szCs w:val="21"/>
              </w:rPr>
              <w:t>*1</w:t>
            </w:r>
          </w:p>
        </w:tc>
      </w:tr>
      <w:tr w:rsidR="007E0CC2" w:rsidRPr="007E0CC2" w:rsidTr="002B351A">
        <w:trPr>
          <w:trHeight w:val="340"/>
          <w:jc w:val="center"/>
        </w:trPr>
        <w:tc>
          <w:tcPr>
            <w:tcW w:w="2808" w:type="dxa"/>
            <w:vAlign w:val="center"/>
          </w:tcPr>
          <w:p w:rsidR="00007CE6" w:rsidRPr="007E0CC2" w:rsidRDefault="00007CE6" w:rsidP="002B351A">
            <w:pPr>
              <w:spacing w:line="360" w:lineRule="exact"/>
              <w:rPr>
                <w:sz w:val="20"/>
              </w:rPr>
            </w:pPr>
            <w:r w:rsidRPr="007E0CC2">
              <w:rPr>
                <w:rFonts w:hint="eastAsia"/>
                <w:sz w:val="20"/>
              </w:rPr>
              <w:t>吉林四长制药有限公司</w:t>
            </w:r>
          </w:p>
        </w:tc>
        <w:tc>
          <w:tcPr>
            <w:tcW w:w="1559" w:type="dxa"/>
            <w:vAlign w:val="center"/>
          </w:tcPr>
          <w:p w:rsidR="00007CE6" w:rsidRPr="007E0CC2" w:rsidRDefault="00007CE6" w:rsidP="002B351A">
            <w:pPr>
              <w:spacing w:line="360" w:lineRule="exact"/>
              <w:jc w:val="right"/>
              <w:rPr>
                <w:sz w:val="20"/>
              </w:rPr>
            </w:pPr>
            <w:r w:rsidRPr="007E0CC2">
              <w:rPr>
                <w:rFonts w:hint="eastAsia"/>
                <w:sz w:val="22"/>
                <w:szCs w:val="22"/>
              </w:rPr>
              <w:t>7,704.23</w:t>
            </w:r>
          </w:p>
        </w:tc>
        <w:tc>
          <w:tcPr>
            <w:tcW w:w="1883" w:type="dxa"/>
            <w:vAlign w:val="center"/>
          </w:tcPr>
          <w:p w:rsidR="00007CE6" w:rsidRPr="007E0CC2" w:rsidRDefault="00007CE6" w:rsidP="002B351A">
            <w:pPr>
              <w:spacing w:line="360" w:lineRule="exact"/>
              <w:jc w:val="center"/>
              <w:rPr>
                <w:rFonts w:hAnsi="宋体"/>
                <w:kern w:val="0"/>
                <w:szCs w:val="21"/>
              </w:rPr>
            </w:pPr>
            <w:r w:rsidRPr="007E0CC2">
              <w:rPr>
                <w:rFonts w:hAnsi="宋体" w:hint="eastAsia"/>
                <w:kern w:val="0"/>
                <w:szCs w:val="21"/>
              </w:rPr>
              <w:t>2012</w:t>
            </w:r>
            <w:r w:rsidRPr="007E0CC2">
              <w:rPr>
                <w:rFonts w:hAnsi="宋体" w:hint="eastAsia"/>
                <w:kern w:val="0"/>
                <w:szCs w:val="21"/>
              </w:rPr>
              <w:t>年</w:t>
            </w:r>
            <w:r w:rsidRPr="007E0CC2">
              <w:rPr>
                <w:rFonts w:hAnsi="宋体" w:hint="eastAsia"/>
                <w:kern w:val="0"/>
                <w:szCs w:val="21"/>
              </w:rPr>
              <w:t>-2018</w:t>
            </w:r>
            <w:r w:rsidRPr="007E0CC2">
              <w:rPr>
                <w:rFonts w:hAnsi="宋体" w:hint="eastAsia"/>
                <w:kern w:val="0"/>
                <w:szCs w:val="21"/>
              </w:rPr>
              <w:t>年</w:t>
            </w:r>
          </w:p>
        </w:tc>
        <w:tc>
          <w:tcPr>
            <w:tcW w:w="2283" w:type="dxa"/>
            <w:vAlign w:val="center"/>
          </w:tcPr>
          <w:p w:rsidR="00007CE6" w:rsidRPr="007E0CC2" w:rsidRDefault="00007CE6" w:rsidP="002B351A">
            <w:pPr>
              <w:spacing w:line="360" w:lineRule="exact"/>
              <w:jc w:val="center"/>
              <w:rPr>
                <w:rFonts w:hAnsi="宋体"/>
                <w:kern w:val="0"/>
                <w:szCs w:val="21"/>
              </w:rPr>
            </w:pPr>
            <w:r w:rsidRPr="007E0CC2">
              <w:rPr>
                <w:rFonts w:hAnsi="宋体" w:hint="eastAsia"/>
                <w:kern w:val="0"/>
                <w:szCs w:val="21"/>
              </w:rPr>
              <w:t>*2</w:t>
            </w:r>
          </w:p>
        </w:tc>
      </w:tr>
      <w:tr w:rsidR="007E0CC2" w:rsidRPr="007E0CC2" w:rsidTr="002B351A">
        <w:trPr>
          <w:trHeight w:val="340"/>
          <w:jc w:val="center"/>
        </w:trPr>
        <w:tc>
          <w:tcPr>
            <w:tcW w:w="2808" w:type="dxa"/>
            <w:vAlign w:val="center"/>
          </w:tcPr>
          <w:p w:rsidR="00007CE6" w:rsidRPr="007E0CC2" w:rsidRDefault="00007CE6" w:rsidP="002B351A">
            <w:pPr>
              <w:spacing w:line="360" w:lineRule="exact"/>
              <w:rPr>
                <w:rFonts w:ascii="宋体" w:hAnsi="宋体" w:cs="宋体"/>
                <w:sz w:val="20"/>
              </w:rPr>
            </w:pPr>
            <w:r w:rsidRPr="007E0CC2">
              <w:rPr>
                <w:rFonts w:hint="eastAsia"/>
                <w:sz w:val="20"/>
              </w:rPr>
              <w:t>咸阳长</w:t>
            </w:r>
            <w:proofErr w:type="gramStart"/>
            <w:r w:rsidRPr="007E0CC2">
              <w:rPr>
                <w:rFonts w:hint="eastAsia"/>
                <w:sz w:val="20"/>
              </w:rPr>
              <w:t>涛电子</w:t>
            </w:r>
            <w:proofErr w:type="gramEnd"/>
            <w:r w:rsidRPr="007E0CC2">
              <w:rPr>
                <w:rFonts w:hint="eastAsia"/>
                <w:sz w:val="20"/>
              </w:rPr>
              <w:t>科技有限公司</w:t>
            </w:r>
          </w:p>
        </w:tc>
        <w:tc>
          <w:tcPr>
            <w:tcW w:w="1559" w:type="dxa"/>
            <w:vAlign w:val="center"/>
          </w:tcPr>
          <w:p w:rsidR="00007CE6" w:rsidRPr="007E0CC2" w:rsidRDefault="00007CE6" w:rsidP="002B351A">
            <w:pPr>
              <w:spacing w:line="360" w:lineRule="exact"/>
              <w:jc w:val="right"/>
              <w:rPr>
                <w:sz w:val="20"/>
              </w:rPr>
            </w:pPr>
            <w:r w:rsidRPr="007E0CC2">
              <w:rPr>
                <w:rFonts w:hint="eastAsia"/>
                <w:sz w:val="22"/>
                <w:szCs w:val="22"/>
              </w:rPr>
              <w:t>749.87</w:t>
            </w:r>
          </w:p>
        </w:tc>
        <w:tc>
          <w:tcPr>
            <w:tcW w:w="1883" w:type="dxa"/>
            <w:vAlign w:val="center"/>
          </w:tcPr>
          <w:p w:rsidR="00007CE6" w:rsidRPr="007E0CC2" w:rsidRDefault="00007CE6" w:rsidP="002B351A">
            <w:pPr>
              <w:spacing w:line="360" w:lineRule="exact"/>
              <w:jc w:val="center"/>
              <w:rPr>
                <w:szCs w:val="21"/>
              </w:rPr>
            </w:pPr>
            <w:r w:rsidRPr="007E0CC2">
              <w:rPr>
                <w:rFonts w:hAnsi="宋体" w:hint="eastAsia"/>
                <w:kern w:val="0"/>
                <w:szCs w:val="21"/>
              </w:rPr>
              <w:t>2014</w:t>
            </w:r>
            <w:r w:rsidRPr="007E0CC2">
              <w:rPr>
                <w:rFonts w:hAnsi="宋体" w:hint="eastAsia"/>
                <w:kern w:val="0"/>
                <w:szCs w:val="21"/>
              </w:rPr>
              <w:t>年</w:t>
            </w:r>
          </w:p>
        </w:tc>
        <w:tc>
          <w:tcPr>
            <w:tcW w:w="2283" w:type="dxa"/>
            <w:vAlign w:val="center"/>
          </w:tcPr>
          <w:p w:rsidR="00007CE6" w:rsidRPr="007E0CC2" w:rsidRDefault="00007CE6" w:rsidP="002B351A">
            <w:pPr>
              <w:spacing w:line="360" w:lineRule="exact"/>
              <w:jc w:val="center"/>
              <w:rPr>
                <w:rFonts w:hAnsi="宋体"/>
                <w:kern w:val="0"/>
                <w:szCs w:val="21"/>
              </w:rPr>
            </w:pPr>
            <w:r w:rsidRPr="007E0CC2">
              <w:rPr>
                <w:rFonts w:hAnsi="宋体" w:hint="eastAsia"/>
                <w:kern w:val="0"/>
                <w:szCs w:val="21"/>
              </w:rPr>
              <w:t>*1</w:t>
            </w:r>
          </w:p>
        </w:tc>
      </w:tr>
      <w:tr w:rsidR="007E0CC2" w:rsidRPr="007E0CC2" w:rsidTr="002B351A">
        <w:trPr>
          <w:trHeight w:val="340"/>
          <w:jc w:val="center"/>
        </w:trPr>
        <w:tc>
          <w:tcPr>
            <w:tcW w:w="2808" w:type="dxa"/>
            <w:vAlign w:val="center"/>
          </w:tcPr>
          <w:p w:rsidR="00007CE6" w:rsidRPr="007E0CC2" w:rsidRDefault="00007CE6" w:rsidP="002B351A">
            <w:pPr>
              <w:spacing w:line="360" w:lineRule="exact"/>
              <w:jc w:val="center"/>
              <w:rPr>
                <w:rFonts w:hAnsi="宋体"/>
                <w:b/>
                <w:szCs w:val="21"/>
              </w:rPr>
            </w:pPr>
            <w:r w:rsidRPr="007E0CC2">
              <w:rPr>
                <w:rFonts w:hAnsi="宋体"/>
                <w:b/>
                <w:szCs w:val="21"/>
              </w:rPr>
              <w:t>合计</w:t>
            </w:r>
          </w:p>
        </w:tc>
        <w:tc>
          <w:tcPr>
            <w:tcW w:w="1559" w:type="dxa"/>
            <w:vAlign w:val="center"/>
          </w:tcPr>
          <w:p w:rsidR="00007CE6" w:rsidRPr="007E0CC2" w:rsidRDefault="00007CE6" w:rsidP="002B351A">
            <w:pPr>
              <w:spacing w:line="360" w:lineRule="exact"/>
              <w:jc w:val="right"/>
              <w:rPr>
                <w:b/>
                <w:szCs w:val="21"/>
              </w:rPr>
            </w:pPr>
            <w:r w:rsidRPr="007E0CC2">
              <w:rPr>
                <w:rFonts w:hint="eastAsia"/>
                <w:sz w:val="22"/>
                <w:szCs w:val="22"/>
              </w:rPr>
              <w:t>20,232.40</w:t>
            </w:r>
          </w:p>
        </w:tc>
        <w:tc>
          <w:tcPr>
            <w:tcW w:w="1883" w:type="dxa"/>
            <w:vAlign w:val="center"/>
          </w:tcPr>
          <w:p w:rsidR="00007CE6" w:rsidRPr="007E0CC2" w:rsidRDefault="00007CE6" w:rsidP="002B351A">
            <w:pPr>
              <w:spacing w:line="360" w:lineRule="exact"/>
              <w:jc w:val="left"/>
              <w:rPr>
                <w:b/>
                <w:szCs w:val="21"/>
              </w:rPr>
            </w:pPr>
          </w:p>
        </w:tc>
        <w:tc>
          <w:tcPr>
            <w:tcW w:w="2283" w:type="dxa"/>
            <w:vAlign w:val="center"/>
          </w:tcPr>
          <w:p w:rsidR="00007CE6" w:rsidRPr="007E0CC2" w:rsidRDefault="00007CE6" w:rsidP="002B351A">
            <w:pPr>
              <w:spacing w:line="360" w:lineRule="exact"/>
              <w:jc w:val="center"/>
              <w:rPr>
                <w:b/>
                <w:szCs w:val="21"/>
              </w:rPr>
            </w:pPr>
          </w:p>
        </w:tc>
      </w:tr>
    </w:tbl>
    <w:p w:rsidR="00007CE6" w:rsidRPr="007E0CC2" w:rsidRDefault="00007CE6" w:rsidP="00007CE6">
      <w:pPr>
        <w:spacing w:line="360" w:lineRule="auto"/>
        <w:ind w:firstLineChars="200" w:firstLine="440"/>
        <w:rPr>
          <w:rFonts w:hAnsi="宋体"/>
          <w:sz w:val="22"/>
          <w:szCs w:val="22"/>
        </w:rPr>
      </w:pPr>
      <w:r w:rsidRPr="007E0CC2">
        <w:rPr>
          <w:rFonts w:hAnsi="宋体" w:hint="eastAsia"/>
          <w:sz w:val="22"/>
          <w:szCs w:val="22"/>
        </w:rPr>
        <w:t>*1</w:t>
      </w:r>
      <w:r w:rsidRPr="007E0CC2">
        <w:rPr>
          <w:rFonts w:hAnsi="宋体" w:hint="eastAsia"/>
          <w:sz w:val="22"/>
          <w:szCs w:val="22"/>
        </w:rPr>
        <w:t>、截止</w:t>
      </w:r>
      <w:r w:rsidRPr="007E0CC2">
        <w:rPr>
          <w:rFonts w:hAnsi="宋体" w:hint="eastAsia"/>
          <w:sz w:val="22"/>
          <w:szCs w:val="22"/>
        </w:rPr>
        <w:t>2018</w:t>
      </w:r>
      <w:r w:rsidRPr="007E0CC2">
        <w:rPr>
          <w:rFonts w:hAnsi="宋体" w:hint="eastAsia"/>
          <w:sz w:val="22"/>
          <w:szCs w:val="22"/>
        </w:rPr>
        <w:t>年</w:t>
      </w:r>
      <w:r w:rsidRPr="007E0CC2">
        <w:rPr>
          <w:rFonts w:hAnsi="宋体" w:hint="eastAsia"/>
          <w:sz w:val="22"/>
          <w:szCs w:val="22"/>
        </w:rPr>
        <w:t>12</w:t>
      </w:r>
      <w:r w:rsidRPr="007E0CC2">
        <w:rPr>
          <w:rFonts w:hAnsi="宋体" w:hint="eastAsia"/>
          <w:sz w:val="22"/>
          <w:szCs w:val="22"/>
        </w:rPr>
        <w:t>月</w:t>
      </w:r>
      <w:r w:rsidRPr="007E0CC2">
        <w:rPr>
          <w:rFonts w:hAnsi="宋体" w:hint="eastAsia"/>
          <w:sz w:val="22"/>
          <w:szCs w:val="22"/>
        </w:rPr>
        <w:t>31</w:t>
      </w:r>
      <w:r w:rsidRPr="007E0CC2">
        <w:rPr>
          <w:rFonts w:hAnsi="宋体" w:hint="eastAsia"/>
          <w:sz w:val="22"/>
          <w:szCs w:val="22"/>
        </w:rPr>
        <w:t>日应付咸阳长</w:t>
      </w:r>
      <w:proofErr w:type="gramStart"/>
      <w:r w:rsidRPr="007E0CC2">
        <w:rPr>
          <w:rFonts w:hAnsi="宋体" w:hint="eastAsia"/>
          <w:sz w:val="22"/>
          <w:szCs w:val="22"/>
        </w:rPr>
        <w:t>涛咨询</w:t>
      </w:r>
      <w:proofErr w:type="gramEnd"/>
      <w:r w:rsidRPr="007E0CC2">
        <w:rPr>
          <w:rFonts w:hAnsi="宋体" w:hint="eastAsia"/>
          <w:sz w:val="22"/>
          <w:szCs w:val="22"/>
        </w:rPr>
        <w:t>服务有限公司（以下简称“长涛咨询服务”）及咸阳长</w:t>
      </w:r>
      <w:proofErr w:type="gramStart"/>
      <w:r w:rsidRPr="007E0CC2">
        <w:rPr>
          <w:rFonts w:hAnsi="宋体" w:hint="eastAsia"/>
          <w:sz w:val="22"/>
          <w:szCs w:val="22"/>
        </w:rPr>
        <w:t>涛电子</w:t>
      </w:r>
      <w:proofErr w:type="gramEnd"/>
      <w:r w:rsidRPr="007E0CC2">
        <w:rPr>
          <w:rFonts w:hAnsi="宋体" w:hint="eastAsia"/>
          <w:sz w:val="22"/>
          <w:szCs w:val="22"/>
        </w:rPr>
        <w:t>科技有限公司（以下简称“咸阳长涛电子”）款项为公司合并山东</w:t>
      </w:r>
      <w:proofErr w:type="gramStart"/>
      <w:r w:rsidRPr="007E0CC2">
        <w:rPr>
          <w:rFonts w:hAnsi="宋体" w:hint="eastAsia"/>
          <w:sz w:val="22"/>
          <w:szCs w:val="22"/>
        </w:rPr>
        <w:t>康爱制药</w:t>
      </w:r>
      <w:proofErr w:type="gramEnd"/>
      <w:r w:rsidRPr="007E0CC2">
        <w:rPr>
          <w:rFonts w:hAnsi="宋体" w:hint="eastAsia"/>
          <w:sz w:val="22"/>
          <w:szCs w:val="22"/>
        </w:rPr>
        <w:t>形成的款项。</w:t>
      </w:r>
      <w:r w:rsidR="00CE6CDA" w:rsidRPr="007E0CC2">
        <w:rPr>
          <w:rFonts w:hAnsi="宋体" w:hint="eastAsia"/>
          <w:sz w:val="22"/>
          <w:szCs w:val="22"/>
        </w:rPr>
        <w:t>2014</w:t>
      </w:r>
      <w:r w:rsidR="00CE6CDA" w:rsidRPr="007E0CC2">
        <w:rPr>
          <w:rFonts w:hAnsi="宋体" w:hint="eastAsia"/>
          <w:sz w:val="22"/>
          <w:szCs w:val="22"/>
        </w:rPr>
        <w:t>年</w:t>
      </w:r>
      <w:r w:rsidR="00CE6CDA" w:rsidRPr="007E0CC2">
        <w:rPr>
          <w:rFonts w:hAnsi="宋体" w:hint="eastAsia"/>
          <w:sz w:val="22"/>
          <w:szCs w:val="22"/>
        </w:rPr>
        <w:t>7</w:t>
      </w:r>
      <w:r w:rsidR="00CE6CDA" w:rsidRPr="007E0CC2">
        <w:rPr>
          <w:rFonts w:hAnsi="宋体" w:hint="eastAsia"/>
          <w:sz w:val="22"/>
          <w:szCs w:val="22"/>
        </w:rPr>
        <w:t>月以前，为满足山东</w:t>
      </w:r>
      <w:proofErr w:type="gramStart"/>
      <w:r w:rsidR="00CE6CDA" w:rsidRPr="007E0CC2">
        <w:rPr>
          <w:rFonts w:hAnsi="宋体" w:hint="eastAsia"/>
          <w:sz w:val="22"/>
          <w:szCs w:val="22"/>
        </w:rPr>
        <w:t>康爱</w:t>
      </w:r>
      <w:r w:rsidR="005E5C8C" w:rsidRPr="007E0CC2">
        <w:rPr>
          <w:rFonts w:hAnsi="宋体" w:hint="eastAsia"/>
          <w:sz w:val="22"/>
          <w:szCs w:val="22"/>
        </w:rPr>
        <w:t>制药</w:t>
      </w:r>
      <w:proofErr w:type="gramEnd"/>
      <w:r w:rsidR="00CE6CDA" w:rsidRPr="007E0CC2">
        <w:rPr>
          <w:rFonts w:hAnsi="宋体" w:hint="eastAsia"/>
          <w:sz w:val="22"/>
          <w:szCs w:val="22"/>
        </w:rPr>
        <w:t>日常经营需要，</w:t>
      </w:r>
      <w:r w:rsidRPr="007E0CC2">
        <w:rPr>
          <w:rFonts w:hAnsi="宋体" w:hint="eastAsia"/>
          <w:sz w:val="22"/>
          <w:szCs w:val="22"/>
        </w:rPr>
        <w:t>长</w:t>
      </w:r>
      <w:proofErr w:type="gramStart"/>
      <w:r w:rsidRPr="007E0CC2">
        <w:rPr>
          <w:rFonts w:hAnsi="宋体" w:hint="eastAsia"/>
          <w:sz w:val="22"/>
          <w:szCs w:val="22"/>
        </w:rPr>
        <w:t>涛咨询</w:t>
      </w:r>
      <w:proofErr w:type="gramEnd"/>
      <w:r w:rsidRPr="007E0CC2">
        <w:rPr>
          <w:rFonts w:hAnsi="宋体" w:hint="eastAsia"/>
          <w:sz w:val="22"/>
          <w:szCs w:val="22"/>
        </w:rPr>
        <w:t>服务以及咸阳长</w:t>
      </w:r>
      <w:proofErr w:type="gramStart"/>
      <w:r w:rsidRPr="007E0CC2">
        <w:rPr>
          <w:rFonts w:hAnsi="宋体" w:hint="eastAsia"/>
          <w:sz w:val="22"/>
          <w:szCs w:val="22"/>
        </w:rPr>
        <w:t>涛电子给</w:t>
      </w:r>
      <w:proofErr w:type="gramEnd"/>
      <w:r w:rsidRPr="007E0CC2">
        <w:rPr>
          <w:rFonts w:hAnsi="宋体" w:hint="eastAsia"/>
          <w:sz w:val="22"/>
          <w:szCs w:val="22"/>
        </w:rPr>
        <w:t>与山东</w:t>
      </w:r>
      <w:proofErr w:type="gramStart"/>
      <w:r w:rsidRPr="007E0CC2">
        <w:rPr>
          <w:rFonts w:hAnsi="宋体" w:hint="eastAsia"/>
          <w:sz w:val="22"/>
          <w:szCs w:val="22"/>
        </w:rPr>
        <w:t>康爱</w:t>
      </w:r>
      <w:r w:rsidR="005E5C8C" w:rsidRPr="007E0CC2">
        <w:rPr>
          <w:rFonts w:hAnsi="宋体" w:hint="eastAsia"/>
          <w:sz w:val="22"/>
          <w:szCs w:val="22"/>
        </w:rPr>
        <w:t>制药</w:t>
      </w:r>
      <w:proofErr w:type="gramEnd"/>
      <w:r w:rsidRPr="007E0CC2">
        <w:rPr>
          <w:rFonts w:hAnsi="宋体" w:hint="eastAsia"/>
          <w:sz w:val="22"/>
          <w:szCs w:val="22"/>
        </w:rPr>
        <w:t>资金支持，截止</w:t>
      </w:r>
      <w:r w:rsidRPr="007E0CC2">
        <w:rPr>
          <w:rFonts w:hAnsi="宋体" w:hint="eastAsia"/>
          <w:sz w:val="22"/>
          <w:szCs w:val="22"/>
        </w:rPr>
        <w:t>2014</w:t>
      </w:r>
      <w:r w:rsidRPr="007E0CC2">
        <w:rPr>
          <w:rFonts w:hAnsi="宋体" w:hint="eastAsia"/>
          <w:sz w:val="22"/>
          <w:szCs w:val="22"/>
        </w:rPr>
        <w:t>年</w:t>
      </w:r>
      <w:r w:rsidRPr="007E0CC2">
        <w:rPr>
          <w:rFonts w:hAnsi="宋体" w:hint="eastAsia"/>
          <w:sz w:val="22"/>
          <w:szCs w:val="22"/>
        </w:rPr>
        <w:t>7</w:t>
      </w:r>
      <w:r w:rsidRPr="007E0CC2">
        <w:rPr>
          <w:rFonts w:hAnsi="宋体" w:hint="eastAsia"/>
          <w:sz w:val="22"/>
          <w:szCs w:val="22"/>
        </w:rPr>
        <w:t>月山东</w:t>
      </w:r>
      <w:proofErr w:type="gramStart"/>
      <w:r w:rsidRPr="007E0CC2">
        <w:rPr>
          <w:rFonts w:hAnsi="宋体" w:hint="eastAsia"/>
          <w:sz w:val="22"/>
          <w:szCs w:val="22"/>
        </w:rPr>
        <w:t>康爱</w:t>
      </w:r>
      <w:r w:rsidR="005E5C8C" w:rsidRPr="007E0CC2">
        <w:rPr>
          <w:rFonts w:hAnsi="宋体" w:hint="eastAsia"/>
          <w:sz w:val="22"/>
          <w:szCs w:val="22"/>
        </w:rPr>
        <w:t>制药</w:t>
      </w:r>
      <w:proofErr w:type="gramEnd"/>
      <w:r w:rsidRPr="007E0CC2">
        <w:rPr>
          <w:rFonts w:hAnsi="宋体" w:hint="eastAsia"/>
          <w:sz w:val="22"/>
          <w:szCs w:val="22"/>
        </w:rPr>
        <w:t>应付长</w:t>
      </w:r>
      <w:proofErr w:type="gramStart"/>
      <w:r w:rsidRPr="007E0CC2">
        <w:rPr>
          <w:rFonts w:hAnsi="宋体" w:hint="eastAsia"/>
          <w:sz w:val="22"/>
          <w:szCs w:val="22"/>
        </w:rPr>
        <w:t>涛咨询</w:t>
      </w:r>
      <w:proofErr w:type="gramEnd"/>
      <w:r w:rsidRPr="007E0CC2">
        <w:rPr>
          <w:rFonts w:hAnsi="宋体" w:hint="eastAsia"/>
          <w:sz w:val="22"/>
          <w:szCs w:val="22"/>
        </w:rPr>
        <w:t>服务以及咸阳长</w:t>
      </w:r>
      <w:proofErr w:type="gramStart"/>
      <w:r w:rsidRPr="007E0CC2">
        <w:rPr>
          <w:rFonts w:hAnsi="宋体" w:hint="eastAsia"/>
          <w:sz w:val="22"/>
          <w:szCs w:val="22"/>
        </w:rPr>
        <w:t>涛电子</w:t>
      </w:r>
      <w:proofErr w:type="gramEnd"/>
      <w:r w:rsidRPr="007E0CC2">
        <w:rPr>
          <w:rFonts w:hAnsi="宋体" w:hint="eastAsia"/>
          <w:sz w:val="22"/>
          <w:szCs w:val="22"/>
        </w:rPr>
        <w:t>借款及</w:t>
      </w:r>
      <w:r w:rsidR="00CE6CDA" w:rsidRPr="007E0CC2">
        <w:rPr>
          <w:rFonts w:hAnsi="宋体" w:hint="eastAsia"/>
          <w:sz w:val="22"/>
          <w:szCs w:val="22"/>
        </w:rPr>
        <w:t>相关</w:t>
      </w:r>
      <w:r w:rsidRPr="007E0CC2">
        <w:rPr>
          <w:rFonts w:hAnsi="宋体" w:hint="eastAsia"/>
          <w:sz w:val="22"/>
          <w:szCs w:val="22"/>
        </w:rPr>
        <w:t>利息费用分别</w:t>
      </w:r>
      <w:r w:rsidR="00572664" w:rsidRPr="007E0CC2">
        <w:rPr>
          <w:rFonts w:hAnsi="宋体" w:hint="eastAsia"/>
          <w:sz w:val="22"/>
          <w:szCs w:val="22"/>
        </w:rPr>
        <w:t>为</w:t>
      </w:r>
      <w:r w:rsidRPr="007E0CC2">
        <w:rPr>
          <w:rFonts w:hAnsi="宋体" w:hint="eastAsia"/>
          <w:sz w:val="22"/>
          <w:szCs w:val="22"/>
        </w:rPr>
        <w:t>11,778.30</w:t>
      </w:r>
      <w:r w:rsidRPr="007E0CC2">
        <w:rPr>
          <w:rFonts w:hAnsi="宋体" w:hint="eastAsia"/>
          <w:sz w:val="22"/>
          <w:szCs w:val="22"/>
        </w:rPr>
        <w:t>万元和</w:t>
      </w:r>
      <w:r w:rsidRPr="007E0CC2">
        <w:rPr>
          <w:rFonts w:hAnsi="宋体" w:hint="eastAsia"/>
          <w:sz w:val="22"/>
          <w:szCs w:val="22"/>
        </w:rPr>
        <w:t>749.87</w:t>
      </w:r>
      <w:r w:rsidRPr="007E0CC2">
        <w:rPr>
          <w:rFonts w:hAnsi="宋体" w:hint="eastAsia"/>
          <w:sz w:val="22"/>
          <w:szCs w:val="22"/>
        </w:rPr>
        <w:t>万元。</w:t>
      </w:r>
      <w:r w:rsidRPr="007E0CC2">
        <w:rPr>
          <w:rFonts w:hAnsi="宋体" w:hint="eastAsia"/>
          <w:sz w:val="22"/>
          <w:szCs w:val="22"/>
        </w:rPr>
        <w:t>2014</w:t>
      </w:r>
      <w:r w:rsidRPr="007E0CC2">
        <w:rPr>
          <w:rFonts w:hAnsi="宋体" w:hint="eastAsia"/>
          <w:sz w:val="22"/>
          <w:szCs w:val="22"/>
        </w:rPr>
        <w:t>年</w:t>
      </w:r>
      <w:r w:rsidRPr="007E0CC2">
        <w:rPr>
          <w:rFonts w:hAnsi="宋体" w:hint="eastAsia"/>
          <w:sz w:val="22"/>
          <w:szCs w:val="22"/>
        </w:rPr>
        <w:t>7</w:t>
      </w:r>
      <w:r w:rsidRPr="007E0CC2">
        <w:rPr>
          <w:rFonts w:hAnsi="宋体" w:hint="eastAsia"/>
          <w:sz w:val="22"/>
          <w:szCs w:val="22"/>
        </w:rPr>
        <w:t>月公司为消除潜在的同业竞争以及引入山东</w:t>
      </w:r>
      <w:proofErr w:type="gramStart"/>
      <w:r w:rsidRPr="007E0CC2">
        <w:rPr>
          <w:rFonts w:hAnsi="宋体" w:hint="eastAsia"/>
          <w:sz w:val="22"/>
          <w:szCs w:val="22"/>
        </w:rPr>
        <w:t>康爱</w:t>
      </w:r>
      <w:r w:rsidR="005E5C8C" w:rsidRPr="007E0CC2">
        <w:rPr>
          <w:rFonts w:hAnsi="宋体" w:hint="eastAsia"/>
          <w:sz w:val="22"/>
          <w:szCs w:val="22"/>
        </w:rPr>
        <w:t>制药</w:t>
      </w:r>
      <w:proofErr w:type="gramEnd"/>
      <w:r w:rsidR="00572664" w:rsidRPr="007E0CC2">
        <w:rPr>
          <w:rFonts w:hAnsi="宋体" w:hint="eastAsia"/>
          <w:sz w:val="22"/>
          <w:szCs w:val="22"/>
        </w:rPr>
        <w:t>肿瘤药物</w:t>
      </w:r>
      <w:r w:rsidRPr="007E0CC2">
        <w:rPr>
          <w:rFonts w:hAnsi="宋体" w:hint="eastAsia"/>
          <w:sz w:val="22"/>
          <w:szCs w:val="22"/>
        </w:rPr>
        <w:t>业务板块，公司与山东</w:t>
      </w:r>
      <w:proofErr w:type="gramStart"/>
      <w:r w:rsidRPr="007E0CC2">
        <w:rPr>
          <w:rFonts w:hAnsi="宋体" w:hint="eastAsia"/>
          <w:sz w:val="22"/>
          <w:szCs w:val="22"/>
        </w:rPr>
        <w:t>康爱</w:t>
      </w:r>
      <w:r w:rsidR="005E5C8C" w:rsidRPr="007E0CC2">
        <w:rPr>
          <w:rFonts w:hAnsi="宋体" w:hint="eastAsia"/>
          <w:sz w:val="22"/>
          <w:szCs w:val="22"/>
        </w:rPr>
        <w:t>制药</w:t>
      </w:r>
      <w:r w:rsidRPr="007E0CC2">
        <w:rPr>
          <w:rFonts w:hAnsi="宋体" w:hint="eastAsia"/>
          <w:sz w:val="22"/>
          <w:szCs w:val="22"/>
        </w:rPr>
        <w:t>原股东益达</w:t>
      </w:r>
      <w:proofErr w:type="gramEnd"/>
      <w:r w:rsidRPr="007E0CC2">
        <w:rPr>
          <w:rFonts w:hAnsi="宋体" w:hint="eastAsia"/>
          <w:sz w:val="22"/>
          <w:szCs w:val="22"/>
        </w:rPr>
        <w:t>国际有限公司签订股权转让协议受让山东</w:t>
      </w:r>
      <w:proofErr w:type="gramStart"/>
      <w:r w:rsidRPr="007E0CC2">
        <w:rPr>
          <w:rFonts w:hAnsi="宋体" w:hint="eastAsia"/>
          <w:sz w:val="22"/>
          <w:szCs w:val="22"/>
        </w:rPr>
        <w:t>康爱</w:t>
      </w:r>
      <w:r w:rsidR="005E5C8C" w:rsidRPr="007E0CC2">
        <w:rPr>
          <w:rFonts w:hAnsi="宋体" w:hint="eastAsia"/>
          <w:sz w:val="22"/>
          <w:szCs w:val="22"/>
        </w:rPr>
        <w:t>制药</w:t>
      </w:r>
      <w:proofErr w:type="gramEnd"/>
      <w:r w:rsidRPr="007E0CC2">
        <w:rPr>
          <w:rFonts w:hAnsi="宋体" w:hint="eastAsia"/>
          <w:sz w:val="22"/>
          <w:szCs w:val="22"/>
        </w:rPr>
        <w:t>100%</w:t>
      </w:r>
      <w:r w:rsidRPr="007E0CC2">
        <w:rPr>
          <w:rFonts w:hAnsi="宋体" w:hint="eastAsia"/>
          <w:sz w:val="22"/>
          <w:szCs w:val="22"/>
        </w:rPr>
        <w:t>股权，受让价格为零元。</w:t>
      </w:r>
      <w:proofErr w:type="gramStart"/>
      <w:r w:rsidRPr="007E0CC2">
        <w:rPr>
          <w:rFonts w:hAnsi="宋体" w:hint="eastAsia"/>
          <w:sz w:val="22"/>
          <w:szCs w:val="22"/>
        </w:rPr>
        <w:t>由于益达国际</w:t>
      </w:r>
      <w:proofErr w:type="gramEnd"/>
      <w:r w:rsidRPr="007E0CC2">
        <w:rPr>
          <w:rFonts w:hAnsi="宋体" w:hint="eastAsia"/>
          <w:sz w:val="22"/>
          <w:szCs w:val="22"/>
        </w:rPr>
        <w:t>有限公司和长</w:t>
      </w:r>
      <w:proofErr w:type="gramStart"/>
      <w:r w:rsidRPr="007E0CC2">
        <w:rPr>
          <w:rFonts w:hAnsi="宋体" w:hint="eastAsia"/>
          <w:sz w:val="22"/>
          <w:szCs w:val="22"/>
        </w:rPr>
        <w:t>涛咨询</w:t>
      </w:r>
      <w:proofErr w:type="gramEnd"/>
      <w:r w:rsidRPr="007E0CC2">
        <w:rPr>
          <w:rFonts w:hAnsi="宋体" w:hint="eastAsia"/>
          <w:sz w:val="22"/>
          <w:szCs w:val="22"/>
        </w:rPr>
        <w:t>服务以及咸阳长</w:t>
      </w:r>
      <w:proofErr w:type="gramStart"/>
      <w:r w:rsidRPr="007E0CC2">
        <w:rPr>
          <w:rFonts w:hAnsi="宋体" w:hint="eastAsia"/>
          <w:sz w:val="22"/>
          <w:szCs w:val="22"/>
        </w:rPr>
        <w:t>涛电子</w:t>
      </w:r>
      <w:proofErr w:type="gramEnd"/>
      <w:r w:rsidRPr="007E0CC2">
        <w:rPr>
          <w:rFonts w:hAnsi="宋体" w:hint="eastAsia"/>
          <w:sz w:val="22"/>
          <w:szCs w:val="22"/>
        </w:rPr>
        <w:t>均为公司实际控制人控制公司，为降低公司收购股权的风险，咸阳长</w:t>
      </w:r>
      <w:proofErr w:type="gramStart"/>
      <w:r w:rsidRPr="007E0CC2">
        <w:rPr>
          <w:rFonts w:hAnsi="宋体" w:hint="eastAsia"/>
          <w:sz w:val="22"/>
          <w:szCs w:val="22"/>
        </w:rPr>
        <w:t>涛电子</w:t>
      </w:r>
      <w:proofErr w:type="gramEnd"/>
      <w:r w:rsidRPr="007E0CC2">
        <w:rPr>
          <w:rFonts w:hAnsi="宋体" w:hint="eastAsia"/>
          <w:sz w:val="22"/>
          <w:szCs w:val="22"/>
        </w:rPr>
        <w:t>及长</w:t>
      </w:r>
      <w:proofErr w:type="gramStart"/>
      <w:r w:rsidRPr="007E0CC2">
        <w:rPr>
          <w:rFonts w:hAnsi="宋体" w:hint="eastAsia"/>
          <w:sz w:val="22"/>
          <w:szCs w:val="22"/>
        </w:rPr>
        <w:t>涛咨询</w:t>
      </w:r>
      <w:proofErr w:type="gramEnd"/>
      <w:r w:rsidRPr="007E0CC2">
        <w:rPr>
          <w:rFonts w:hAnsi="宋体" w:hint="eastAsia"/>
          <w:sz w:val="22"/>
          <w:szCs w:val="22"/>
        </w:rPr>
        <w:t>服务同意，自公司</w:t>
      </w:r>
      <w:proofErr w:type="gramStart"/>
      <w:r w:rsidRPr="007E0CC2">
        <w:rPr>
          <w:rFonts w:hAnsi="宋体" w:hint="eastAsia"/>
          <w:sz w:val="22"/>
          <w:szCs w:val="22"/>
        </w:rPr>
        <w:t>与益达国际</w:t>
      </w:r>
      <w:proofErr w:type="gramEnd"/>
      <w:r w:rsidRPr="007E0CC2">
        <w:rPr>
          <w:rFonts w:hAnsi="宋体" w:hint="eastAsia"/>
          <w:sz w:val="22"/>
          <w:szCs w:val="22"/>
        </w:rPr>
        <w:t>完成股权交易之日起至山东</w:t>
      </w:r>
      <w:proofErr w:type="gramStart"/>
      <w:r w:rsidRPr="007E0CC2">
        <w:rPr>
          <w:rFonts w:hAnsi="宋体" w:hint="eastAsia"/>
          <w:sz w:val="22"/>
          <w:szCs w:val="22"/>
        </w:rPr>
        <w:t>康爱制药</w:t>
      </w:r>
      <w:proofErr w:type="gramEnd"/>
      <w:r w:rsidRPr="007E0CC2">
        <w:rPr>
          <w:rFonts w:hAnsi="宋体" w:hint="eastAsia"/>
          <w:sz w:val="22"/>
          <w:szCs w:val="22"/>
        </w:rPr>
        <w:t>累计盈利</w:t>
      </w:r>
      <w:r w:rsidRPr="007E0CC2">
        <w:rPr>
          <w:rFonts w:hAnsi="宋体" w:hint="eastAsia"/>
          <w:sz w:val="22"/>
          <w:szCs w:val="22"/>
        </w:rPr>
        <w:t>5,500.00</w:t>
      </w:r>
      <w:r w:rsidRPr="007E0CC2">
        <w:rPr>
          <w:rFonts w:hAnsi="宋体" w:hint="eastAsia"/>
          <w:sz w:val="22"/>
          <w:szCs w:val="22"/>
        </w:rPr>
        <w:t>万元的期间（不含收购基准日之前的亏损），山东</w:t>
      </w:r>
      <w:proofErr w:type="gramStart"/>
      <w:r w:rsidRPr="007E0CC2">
        <w:rPr>
          <w:rFonts w:hAnsi="宋体" w:hint="eastAsia"/>
          <w:sz w:val="22"/>
          <w:szCs w:val="22"/>
        </w:rPr>
        <w:t>康爱制药</w:t>
      </w:r>
      <w:proofErr w:type="gramEnd"/>
      <w:r w:rsidRPr="007E0CC2">
        <w:rPr>
          <w:rFonts w:hAnsi="宋体" w:hint="eastAsia"/>
          <w:sz w:val="22"/>
          <w:szCs w:val="22"/>
        </w:rPr>
        <w:t>暂不归还咸阳长涛电子、长</w:t>
      </w:r>
      <w:proofErr w:type="gramStart"/>
      <w:r w:rsidRPr="007E0CC2">
        <w:rPr>
          <w:rFonts w:hAnsi="宋体" w:hint="eastAsia"/>
          <w:sz w:val="22"/>
          <w:szCs w:val="22"/>
        </w:rPr>
        <w:t>涛咨询</w:t>
      </w:r>
      <w:proofErr w:type="gramEnd"/>
      <w:r w:rsidRPr="007E0CC2">
        <w:rPr>
          <w:rFonts w:hAnsi="宋体" w:hint="eastAsia"/>
          <w:sz w:val="22"/>
          <w:szCs w:val="22"/>
        </w:rPr>
        <w:t>服务欠款。截止</w:t>
      </w:r>
      <w:r w:rsidRPr="007E0CC2">
        <w:rPr>
          <w:rFonts w:hAnsi="宋体" w:hint="eastAsia"/>
          <w:sz w:val="22"/>
          <w:szCs w:val="22"/>
        </w:rPr>
        <w:t>2018</w:t>
      </w:r>
      <w:r w:rsidRPr="007E0CC2">
        <w:rPr>
          <w:rFonts w:hAnsi="宋体" w:hint="eastAsia"/>
          <w:sz w:val="22"/>
          <w:szCs w:val="22"/>
        </w:rPr>
        <w:t>年</w:t>
      </w:r>
      <w:r w:rsidRPr="007E0CC2">
        <w:rPr>
          <w:rFonts w:hAnsi="宋体" w:hint="eastAsia"/>
          <w:sz w:val="22"/>
          <w:szCs w:val="22"/>
        </w:rPr>
        <w:t>12</w:t>
      </w:r>
      <w:r w:rsidRPr="007E0CC2">
        <w:rPr>
          <w:rFonts w:hAnsi="宋体" w:hint="eastAsia"/>
          <w:sz w:val="22"/>
          <w:szCs w:val="22"/>
        </w:rPr>
        <w:t>月</w:t>
      </w:r>
      <w:r w:rsidRPr="007E0CC2">
        <w:rPr>
          <w:rFonts w:hAnsi="宋体" w:hint="eastAsia"/>
          <w:sz w:val="22"/>
          <w:szCs w:val="22"/>
        </w:rPr>
        <w:t>31</w:t>
      </w:r>
      <w:r w:rsidRPr="007E0CC2">
        <w:rPr>
          <w:rFonts w:hAnsi="宋体" w:hint="eastAsia"/>
          <w:sz w:val="22"/>
          <w:szCs w:val="22"/>
        </w:rPr>
        <w:t>日山东</w:t>
      </w:r>
      <w:proofErr w:type="gramStart"/>
      <w:r w:rsidRPr="007E0CC2">
        <w:rPr>
          <w:rFonts w:hAnsi="宋体" w:hint="eastAsia"/>
          <w:sz w:val="22"/>
          <w:szCs w:val="22"/>
        </w:rPr>
        <w:t>康爱</w:t>
      </w:r>
      <w:r w:rsidR="005E5C8C" w:rsidRPr="007E0CC2">
        <w:rPr>
          <w:rFonts w:hAnsi="宋体" w:hint="eastAsia"/>
          <w:sz w:val="22"/>
          <w:szCs w:val="22"/>
        </w:rPr>
        <w:t>制药</w:t>
      </w:r>
      <w:proofErr w:type="gramEnd"/>
      <w:r w:rsidRPr="007E0CC2">
        <w:rPr>
          <w:rFonts w:hAnsi="宋体" w:hint="eastAsia"/>
          <w:sz w:val="22"/>
          <w:szCs w:val="22"/>
        </w:rPr>
        <w:t>尚未实现</w:t>
      </w:r>
      <w:r w:rsidRPr="007E0CC2">
        <w:rPr>
          <w:rFonts w:hAnsi="宋体" w:hint="eastAsia"/>
          <w:sz w:val="22"/>
          <w:szCs w:val="22"/>
        </w:rPr>
        <w:t>5,500.00</w:t>
      </w:r>
      <w:r w:rsidRPr="007E0CC2">
        <w:rPr>
          <w:rFonts w:hAnsi="宋体" w:hint="eastAsia"/>
          <w:sz w:val="22"/>
          <w:szCs w:val="22"/>
        </w:rPr>
        <w:t>万元盈利，因此尚未归还咸阳长</w:t>
      </w:r>
      <w:proofErr w:type="gramStart"/>
      <w:r w:rsidRPr="007E0CC2">
        <w:rPr>
          <w:rFonts w:hAnsi="宋体" w:hint="eastAsia"/>
          <w:sz w:val="22"/>
          <w:szCs w:val="22"/>
        </w:rPr>
        <w:t>涛电子</w:t>
      </w:r>
      <w:proofErr w:type="gramEnd"/>
      <w:r w:rsidRPr="007E0CC2">
        <w:rPr>
          <w:rFonts w:hAnsi="宋体" w:hint="eastAsia"/>
          <w:sz w:val="22"/>
          <w:szCs w:val="22"/>
        </w:rPr>
        <w:t>和长</w:t>
      </w:r>
      <w:proofErr w:type="gramStart"/>
      <w:r w:rsidRPr="007E0CC2">
        <w:rPr>
          <w:rFonts w:hAnsi="宋体" w:hint="eastAsia"/>
          <w:sz w:val="22"/>
          <w:szCs w:val="22"/>
        </w:rPr>
        <w:t>涛咨询</w:t>
      </w:r>
      <w:proofErr w:type="gramEnd"/>
      <w:r w:rsidRPr="007E0CC2">
        <w:rPr>
          <w:rFonts w:hAnsi="宋体" w:hint="eastAsia"/>
          <w:sz w:val="22"/>
          <w:szCs w:val="22"/>
        </w:rPr>
        <w:t>服务欠款</w:t>
      </w:r>
      <w:r w:rsidRPr="007E0CC2">
        <w:rPr>
          <w:rFonts w:hint="eastAsia"/>
          <w:sz w:val="22"/>
          <w:szCs w:val="22"/>
        </w:rPr>
        <w:t>749.87</w:t>
      </w:r>
      <w:r w:rsidRPr="007E0CC2">
        <w:rPr>
          <w:rFonts w:hint="eastAsia"/>
          <w:sz w:val="22"/>
          <w:szCs w:val="22"/>
        </w:rPr>
        <w:t>万</w:t>
      </w:r>
      <w:r w:rsidRPr="007E0CC2">
        <w:rPr>
          <w:rFonts w:hAnsi="宋体" w:hint="eastAsia"/>
          <w:sz w:val="22"/>
          <w:szCs w:val="22"/>
        </w:rPr>
        <w:t>元和</w:t>
      </w:r>
      <w:r w:rsidRPr="007E0CC2">
        <w:rPr>
          <w:rFonts w:hint="eastAsia"/>
          <w:sz w:val="22"/>
          <w:szCs w:val="22"/>
        </w:rPr>
        <w:t>11,778.30</w:t>
      </w:r>
      <w:r w:rsidRPr="007E0CC2">
        <w:rPr>
          <w:rFonts w:hint="eastAsia"/>
          <w:sz w:val="22"/>
          <w:szCs w:val="22"/>
        </w:rPr>
        <w:t>万</w:t>
      </w:r>
      <w:r w:rsidRPr="007E0CC2">
        <w:rPr>
          <w:rFonts w:hAnsi="宋体" w:hint="eastAsia"/>
          <w:sz w:val="22"/>
          <w:szCs w:val="22"/>
        </w:rPr>
        <w:t>元。</w:t>
      </w:r>
      <w:r w:rsidRPr="007E0CC2">
        <w:rPr>
          <w:rFonts w:hAnsi="宋体" w:hint="eastAsia"/>
          <w:sz w:val="22"/>
          <w:szCs w:val="22"/>
        </w:rPr>
        <w:t>2014</w:t>
      </w:r>
      <w:r w:rsidRPr="007E0CC2">
        <w:rPr>
          <w:rFonts w:hAnsi="宋体" w:hint="eastAsia"/>
          <w:sz w:val="22"/>
          <w:szCs w:val="22"/>
        </w:rPr>
        <w:t>年</w:t>
      </w:r>
      <w:r w:rsidRPr="007E0CC2">
        <w:rPr>
          <w:rFonts w:hAnsi="宋体" w:hint="eastAsia"/>
          <w:sz w:val="22"/>
          <w:szCs w:val="22"/>
        </w:rPr>
        <w:t>7</w:t>
      </w:r>
      <w:r w:rsidRPr="007E0CC2">
        <w:rPr>
          <w:rFonts w:hAnsi="宋体" w:hint="eastAsia"/>
          <w:sz w:val="22"/>
          <w:szCs w:val="22"/>
        </w:rPr>
        <w:t>月至今公司未就上述款项支付资金占用费。</w:t>
      </w:r>
      <w:r w:rsidR="007B07D2" w:rsidRPr="007E0CC2">
        <w:rPr>
          <w:rFonts w:hAnsi="宋体" w:hint="eastAsia"/>
          <w:sz w:val="22"/>
          <w:szCs w:val="22"/>
        </w:rPr>
        <w:t>公司控股股东及其控制的公</w:t>
      </w:r>
      <w:r w:rsidR="00E1624B" w:rsidRPr="007E0CC2">
        <w:rPr>
          <w:rFonts w:hAnsi="宋体" w:hint="eastAsia"/>
          <w:sz w:val="22"/>
          <w:szCs w:val="22"/>
        </w:rPr>
        <w:t>司</w:t>
      </w:r>
      <w:r w:rsidR="007B07D2" w:rsidRPr="007E0CC2">
        <w:rPr>
          <w:rFonts w:hAnsi="宋体" w:hint="eastAsia"/>
          <w:sz w:val="22"/>
          <w:szCs w:val="22"/>
        </w:rPr>
        <w:t>未来也不会要求公司支付相关的资金占用费。</w:t>
      </w:r>
    </w:p>
    <w:p w:rsidR="00E5289B" w:rsidRPr="007E0CC2" w:rsidRDefault="00E5289B" w:rsidP="00007CE6">
      <w:pPr>
        <w:adjustRightInd w:val="0"/>
        <w:snapToGrid w:val="0"/>
        <w:spacing w:line="360" w:lineRule="auto"/>
        <w:ind w:firstLineChars="200" w:firstLine="440"/>
        <w:rPr>
          <w:sz w:val="22"/>
          <w:szCs w:val="22"/>
        </w:rPr>
      </w:pPr>
    </w:p>
    <w:p w:rsidR="00007CE6" w:rsidRPr="007E0CC2" w:rsidRDefault="00815BD3"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9.</w:t>
      </w:r>
      <w:r w:rsidR="00007CE6" w:rsidRPr="007E0CC2">
        <w:rPr>
          <w:rFonts w:asciiTheme="minorEastAsia" w:eastAsiaTheme="minorEastAsia" w:hAnsiTheme="minorEastAsia" w:hint="eastAsia"/>
          <w:b/>
          <w:sz w:val="22"/>
          <w:szCs w:val="24"/>
        </w:rPr>
        <w:t>其他非流动资产。年报显示，公司其他非流动资产16.70亿元，主要为预付长期</w:t>
      </w:r>
      <w:r w:rsidR="00007CE6" w:rsidRPr="007E0CC2">
        <w:rPr>
          <w:rFonts w:asciiTheme="minorEastAsia" w:eastAsiaTheme="minorEastAsia" w:hAnsiTheme="minorEastAsia" w:hint="eastAsia"/>
          <w:b/>
          <w:sz w:val="22"/>
          <w:szCs w:val="24"/>
        </w:rPr>
        <w:lastRenderedPageBreak/>
        <w:t>资产款，且本期涉及部分科目核算调整。请公司：</w:t>
      </w:r>
    </w:p>
    <w:p w:rsidR="00007CE6" w:rsidRPr="007E0CC2" w:rsidRDefault="00007CE6"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（1）补充披露具体业务背景、交易对方及是否为关联方、交付相关资产的时间安排等；</w:t>
      </w:r>
    </w:p>
    <w:p w:rsidR="00007CE6" w:rsidRPr="007E0CC2" w:rsidRDefault="00554295" w:rsidP="00007CE6">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补充</w:t>
      </w:r>
      <w:r w:rsidR="00007CE6" w:rsidRPr="007E0CC2">
        <w:rPr>
          <w:rFonts w:asciiTheme="minorEastAsia" w:eastAsiaTheme="minorEastAsia" w:hAnsiTheme="minorEastAsia"/>
          <w:b/>
          <w:sz w:val="22"/>
          <w:szCs w:val="24"/>
        </w:rPr>
        <w:t>回复</w:t>
      </w:r>
      <w:r w:rsidR="00007CE6" w:rsidRPr="007E0CC2">
        <w:rPr>
          <w:rFonts w:asciiTheme="minorEastAsia" w:eastAsiaTheme="minorEastAsia" w:hAnsiTheme="minorEastAsia" w:hint="eastAsia"/>
          <w:b/>
          <w:sz w:val="22"/>
          <w:szCs w:val="24"/>
        </w:rPr>
        <w:t>：</w:t>
      </w:r>
    </w:p>
    <w:p w:rsidR="00007CE6" w:rsidRPr="007E0CC2" w:rsidRDefault="00007CE6" w:rsidP="00554295">
      <w:pPr>
        <w:adjustRightInd w:val="0"/>
        <w:snapToGrid w:val="0"/>
        <w:spacing w:line="360" w:lineRule="auto"/>
        <w:ind w:firstLineChars="193" w:firstLine="425"/>
        <w:rPr>
          <w:sz w:val="22"/>
          <w:szCs w:val="22"/>
        </w:rPr>
      </w:pPr>
      <w:r w:rsidRPr="007E0CC2">
        <w:rPr>
          <w:rFonts w:hint="eastAsia"/>
          <w:sz w:val="22"/>
          <w:szCs w:val="22"/>
        </w:rPr>
        <w:t>款项按收款方列示情况如下：</w:t>
      </w:r>
    </w:p>
    <w:p w:rsidR="00F503AA" w:rsidRPr="007E0CC2" w:rsidRDefault="00F503AA" w:rsidP="00F503AA">
      <w:pPr>
        <w:pStyle w:val="ad"/>
        <w:adjustRightInd w:val="0"/>
        <w:snapToGrid w:val="0"/>
        <w:spacing w:line="360" w:lineRule="auto"/>
        <w:ind w:left="800" w:firstLineChars="0" w:firstLine="0"/>
        <w:jc w:val="right"/>
        <w:rPr>
          <w:sz w:val="22"/>
          <w:szCs w:val="22"/>
        </w:rPr>
      </w:pPr>
      <w:r w:rsidRPr="007E0CC2">
        <w:rPr>
          <w:sz w:val="22"/>
          <w:szCs w:val="22"/>
        </w:rPr>
        <w:t>单位</w:t>
      </w:r>
      <w:r w:rsidRPr="007E0CC2">
        <w:rPr>
          <w:rFonts w:hint="eastAsia"/>
          <w:sz w:val="22"/>
          <w:szCs w:val="22"/>
        </w:rPr>
        <w:t>：</w:t>
      </w:r>
      <w:r w:rsidR="00761D7A" w:rsidRPr="007E0CC2">
        <w:rPr>
          <w:rFonts w:hint="eastAsia"/>
          <w:sz w:val="22"/>
          <w:szCs w:val="22"/>
        </w:rPr>
        <w:t>万</w:t>
      </w:r>
      <w:r w:rsidRPr="007E0CC2">
        <w:rPr>
          <w:sz w:val="22"/>
          <w:szCs w:val="22"/>
        </w:rPr>
        <w:t>元</w:t>
      </w:r>
    </w:p>
    <w:tbl>
      <w:tblPr>
        <w:tblStyle w:val="a7"/>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2123"/>
        <w:gridCol w:w="1230"/>
        <w:gridCol w:w="1291"/>
        <w:gridCol w:w="993"/>
        <w:gridCol w:w="1559"/>
        <w:gridCol w:w="1057"/>
      </w:tblGrid>
      <w:tr w:rsidR="007E0CC2" w:rsidRPr="007E0CC2" w:rsidTr="00F56665">
        <w:tc>
          <w:tcPr>
            <w:tcW w:w="2123" w:type="dxa"/>
            <w:vAlign w:val="center"/>
          </w:tcPr>
          <w:p w:rsidR="00F66390" w:rsidRPr="007E0CC2" w:rsidRDefault="00F66390" w:rsidP="00572664">
            <w:pPr>
              <w:spacing w:line="360" w:lineRule="auto"/>
              <w:jc w:val="center"/>
              <w:rPr>
                <w:b/>
                <w:sz w:val="22"/>
                <w:szCs w:val="22"/>
              </w:rPr>
            </w:pPr>
            <w:r w:rsidRPr="007E0CC2">
              <w:rPr>
                <w:b/>
                <w:sz w:val="22"/>
                <w:szCs w:val="22"/>
              </w:rPr>
              <w:t>支付单位名称</w:t>
            </w:r>
          </w:p>
        </w:tc>
        <w:tc>
          <w:tcPr>
            <w:tcW w:w="1230" w:type="dxa"/>
            <w:vAlign w:val="center"/>
          </w:tcPr>
          <w:p w:rsidR="00F66390" w:rsidRPr="007E0CC2" w:rsidRDefault="00F66390" w:rsidP="00572664">
            <w:pPr>
              <w:spacing w:line="360" w:lineRule="auto"/>
              <w:jc w:val="center"/>
              <w:rPr>
                <w:b/>
                <w:sz w:val="22"/>
                <w:szCs w:val="22"/>
              </w:rPr>
            </w:pPr>
            <w:r w:rsidRPr="007E0CC2">
              <w:rPr>
                <w:b/>
                <w:sz w:val="22"/>
                <w:szCs w:val="22"/>
              </w:rPr>
              <w:t>金额</w:t>
            </w:r>
          </w:p>
        </w:tc>
        <w:tc>
          <w:tcPr>
            <w:tcW w:w="1291" w:type="dxa"/>
            <w:vAlign w:val="center"/>
          </w:tcPr>
          <w:p w:rsidR="00F66390" w:rsidRPr="007E0CC2" w:rsidRDefault="00F66390" w:rsidP="00F66390">
            <w:pPr>
              <w:spacing w:line="360" w:lineRule="auto"/>
              <w:jc w:val="center"/>
              <w:rPr>
                <w:b/>
                <w:sz w:val="22"/>
                <w:szCs w:val="22"/>
              </w:rPr>
            </w:pPr>
            <w:r w:rsidRPr="007E0CC2">
              <w:rPr>
                <w:rFonts w:hint="eastAsia"/>
                <w:b/>
                <w:sz w:val="22"/>
                <w:szCs w:val="22"/>
              </w:rPr>
              <w:t>付款时间</w:t>
            </w:r>
          </w:p>
        </w:tc>
        <w:tc>
          <w:tcPr>
            <w:tcW w:w="993" w:type="dxa"/>
            <w:vAlign w:val="center"/>
          </w:tcPr>
          <w:p w:rsidR="00F66390" w:rsidRPr="007E0CC2" w:rsidRDefault="00F66390" w:rsidP="00572664">
            <w:pPr>
              <w:spacing w:line="360" w:lineRule="auto"/>
              <w:jc w:val="center"/>
              <w:rPr>
                <w:b/>
                <w:sz w:val="22"/>
                <w:szCs w:val="22"/>
              </w:rPr>
            </w:pPr>
            <w:r w:rsidRPr="007E0CC2">
              <w:rPr>
                <w:b/>
                <w:sz w:val="22"/>
                <w:szCs w:val="22"/>
              </w:rPr>
              <w:t>性质</w:t>
            </w:r>
          </w:p>
        </w:tc>
        <w:tc>
          <w:tcPr>
            <w:tcW w:w="1559" w:type="dxa"/>
            <w:vAlign w:val="center"/>
          </w:tcPr>
          <w:p w:rsidR="00F66390" w:rsidRPr="007E0CC2" w:rsidRDefault="00F66390" w:rsidP="00572664">
            <w:pPr>
              <w:spacing w:line="360" w:lineRule="auto"/>
              <w:jc w:val="center"/>
              <w:rPr>
                <w:b/>
                <w:sz w:val="22"/>
                <w:szCs w:val="22"/>
              </w:rPr>
            </w:pPr>
            <w:r w:rsidRPr="007E0CC2">
              <w:rPr>
                <w:rFonts w:hint="eastAsia"/>
                <w:b/>
                <w:sz w:val="22"/>
                <w:szCs w:val="22"/>
              </w:rPr>
              <w:t>合同约定交付时间</w:t>
            </w:r>
          </w:p>
        </w:tc>
        <w:tc>
          <w:tcPr>
            <w:tcW w:w="1057" w:type="dxa"/>
            <w:vAlign w:val="center"/>
          </w:tcPr>
          <w:p w:rsidR="00F66390" w:rsidRPr="007E0CC2" w:rsidRDefault="00F66390" w:rsidP="00572664">
            <w:pPr>
              <w:spacing w:line="360" w:lineRule="auto"/>
              <w:jc w:val="center"/>
              <w:rPr>
                <w:b/>
                <w:sz w:val="22"/>
                <w:szCs w:val="22"/>
              </w:rPr>
            </w:pPr>
            <w:r w:rsidRPr="007E0CC2">
              <w:rPr>
                <w:b/>
                <w:sz w:val="22"/>
                <w:szCs w:val="22"/>
              </w:rPr>
              <w:t>是否为关联方</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陕西盛华药业有限责任公司</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3,155.08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66390" w:rsidRPr="007E0CC2" w:rsidRDefault="00F66390" w:rsidP="00F66390">
            <w:pPr>
              <w:widowControl/>
              <w:rPr>
                <w:sz w:val="22"/>
                <w:szCs w:val="22"/>
              </w:rPr>
            </w:pPr>
            <w:r w:rsidRPr="007E0CC2">
              <w:rPr>
                <w:rFonts w:hint="eastAsia"/>
                <w:sz w:val="22"/>
                <w:szCs w:val="22"/>
              </w:rPr>
              <w:t>2012</w:t>
            </w:r>
            <w:r w:rsidRPr="007E0CC2">
              <w:rPr>
                <w:rFonts w:hint="eastAsia"/>
                <w:sz w:val="22"/>
                <w:szCs w:val="22"/>
              </w:rPr>
              <w:t>年至</w:t>
            </w:r>
            <w:r w:rsidRPr="007E0CC2">
              <w:rPr>
                <w:rFonts w:hint="eastAsia"/>
                <w:sz w:val="22"/>
                <w:szCs w:val="22"/>
              </w:rPr>
              <w:t>2013</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预付购买技术款</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获得相关药品生产批件</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四川升和药业股份有限公司</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1,960.00</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2017</w:t>
            </w:r>
            <w:r w:rsidRPr="007E0CC2">
              <w:rPr>
                <w:rFonts w:hint="eastAsia"/>
                <w:sz w:val="22"/>
                <w:szCs w:val="22"/>
              </w:rPr>
              <w:t>年至</w:t>
            </w:r>
            <w:r w:rsidRPr="007E0CC2">
              <w:rPr>
                <w:rFonts w:hint="eastAsia"/>
                <w:sz w:val="22"/>
                <w:szCs w:val="22"/>
              </w:rPr>
              <w:t>2018</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预付购买技术款</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获得食品药品监督管理局变更批准</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sz w:val="22"/>
                <w:szCs w:val="22"/>
              </w:rPr>
            </w:pPr>
            <w:r w:rsidRPr="007E0CC2">
              <w:rPr>
                <w:sz w:val="22"/>
                <w:szCs w:val="22"/>
              </w:rPr>
              <w:t>U AND I CORPORATION 20 SAN DAN RO</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1,534.26</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2016</w:t>
            </w:r>
            <w:r w:rsidRPr="007E0CC2">
              <w:rPr>
                <w:rFonts w:hint="eastAsia"/>
                <w:sz w:val="22"/>
                <w:szCs w:val="22"/>
              </w:rPr>
              <w:t>年至</w:t>
            </w:r>
            <w:r w:rsidRPr="007E0CC2">
              <w:rPr>
                <w:rFonts w:hint="eastAsia"/>
                <w:sz w:val="22"/>
                <w:szCs w:val="22"/>
              </w:rPr>
              <w:t>2018</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特许经营权预付款</w:t>
            </w:r>
          </w:p>
        </w:tc>
        <w:tc>
          <w:tcPr>
            <w:tcW w:w="1559" w:type="dxa"/>
            <w:vAlign w:val="center"/>
          </w:tcPr>
          <w:p w:rsidR="00F66390" w:rsidRPr="007E0CC2" w:rsidRDefault="00F66390" w:rsidP="00F66390">
            <w:pPr>
              <w:jc w:val="center"/>
              <w:rPr>
                <w:sz w:val="22"/>
                <w:szCs w:val="22"/>
              </w:rPr>
            </w:pPr>
            <w:r w:rsidRPr="007E0CC2">
              <w:rPr>
                <w:sz w:val="22"/>
                <w:szCs w:val="22"/>
              </w:rPr>
              <w:t>经中国药监局批准后</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济南雅纳信息科技有限公司</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1,350.00</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2015</w:t>
            </w:r>
            <w:r w:rsidRPr="007E0CC2">
              <w:rPr>
                <w:rFonts w:hint="eastAsia"/>
                <w:sz w:val="22"/>
                <w:szCs w:val="22"/>
              </w:rPr>
              <w:t>年至</w:t>
            </w:r>
            <w:r w:rsidRPr="007E0CC2">
              <w:rPr>
                <w:rFonts w:hint="eastAsia"/>
                <w:sz w:val="22"/>
                <w:szCs w:val="22"/>
              </w:rPr>
              <w:t>2018</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预付购买技术款</w:t>
            </w:r>
          </w:p>
        </w:tc>
        <w:tc>
          <w:tcPr>
            <w:tcW w:w="1559" w:type="dxa"/>
            <w:vAlign w:val="center"/>
          </w:tcPr>
          <w:p w:rsidR="00F66390" w:rsidRPr="007E0CC2" w:rsidRDefault="00F66390" w:rsidP="00F66390">
            <w:pPr>
              <w:jc w:val="center"/>
              <w:rPr>
                <w:sz w:val="22"/>
                <w:szCs w:val="22"/>
              </w:rPr>
            </w:pPr>
            <w:r w:rsidRPr="007E0CC2">
              <w:rPr>
                <w:sz w:val="22"/>
                <w:szCs w:val="22"/>
              </w:rPr>
              <w:t>获得食品药品监督管理局变更批准</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rPr>
          <w:trHeight w:val="833"/>
        </w:trPr>
        <w:tc>
          <w:tcPr>
            <w:tcW w:w="2123" w:type="dxa"/>
            <w:vAlign w:val="center"/>
          </w:tcPr>
          <w:p w:rsidR="00F66390" w:rsidRPr="007E0CC2" w:rsidRDefault="00F66390" w:rsidP="00F66390">
            <w:pPr>
              <w:jc w:val="center"/>
              <w:rPr>
                <w:sz w:val="22"/>
                <w:szCs w:val="22"/>
              </w:rPr>
            </w:pPr>
            <w:r w:rsidRPr="007E0CC2">
              <w:rPr>
                <w:rFonts w:hint="eastAsia"/>
                <w:sz w:val="22"/>
                <w:szCs w:val="22"/>
              </w:rPr>
              <w:t>ATGC CO., LTD 8F DELICE BULD 164 SOG</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1,106.16</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2016</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特许经营权预付款</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经中国药监局批准后</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上海凯贤流体科技有限公司</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708.00</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2018</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预付设备及工程款</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完成验收调试后</w:t>
            </w:r>
            <w:r w:rsidR="00F56665" w:rsidRPr="007E0CC2">
              <w:rPr>
                <w:rFonts w:hint="eastAsia"/>
                <w:sz w:val="22"/>
                <w:szCs w:val="22"/>
              </w:rPr>
              <w:t>，预计</w:t>
            </w:r>
            <w:r w:rsidR="00F56665" w:rsidRPr="007E0CC2">
              <w:rPr>
                <w:rFonts w:hint="eastAsia"/>
                <w:sz w:val="22"/>
                <w:szCs w:val="22"/>
              </w:rPr>
              <w:t>2</w:t>
            </w:r>
            <w:r w:rsidR="00F56665" w:rsidRPr="007E0CC2">
              <w:rPr>
                <w:sz w:val="22"/>
                <w:szCs w:val="22"/>
              </w:rPr>
              <w:t>021</w:t>
            </w:r>
            <w:r w:rsidR="00F56665" w:rsidRPr="007E0CC2">
              <w:rPr>
                <w:rFonts w:hint="eastAsia"/>
                <w:sz w:val="22"/>
                <w:szCs w:val="22"/>
              </w:rPr>
              <w:t>年完成</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北京</w:t>
            </w:r>
            <w:proofErr w:type="gramStart"/>
            <w:r w:rsidRPr="007E0CC2">
              <w:rPr>
                <w:rFonts w:hint="eastAsia"/>
                <w:sz w:val="22"/>
                <w:szCs w:val="22"/>
              </w:rPr>
              <w:t>仲量联行</w:t>
            </w:r>
            <w:proofErr w:type="gramEnd"/>
            <w:r w:rsidRPr="007E0CC2">
              <w:rPr>
                <w:rFonts w:hint="eastAsia"/>
                <w:sz w:val="22"/>
                <w:szCs w:val="22"/>
              </w:rPr>
              <w:t>物业管理服务有限公司</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612.97</w:t>
            </w:r>
          </w:p>
        </w:tc>
        <w:tc>
          <w:tcPr>
            <w:tcW w:w="1291" w:type="dxa"/>
            <w:tcBorders>
              <w:top w:val="nil"/>
              <w:left w:val="single" w:sz="4" w:space="0" w:color="auto"/>
              <w:bottom w:val="single" w:sz="4" w:space="0" w:color="auto"/>
              <w:right w:val="single" w:sz="4" w:space="0" w:color="auto"/>
            </w:tcBorders>
            <w:shd w:val="clear" w:color="auto" w:fill="auto"/>
            <w:vAlign w:val="center"/>
          </w:tcPr>
          <w:p w:rsidR="00F66390" w:rsidRPr="007E0CC2" w:rsidRDefault="00F66390" w:rsidP="00F66390">
            <w:pPr>
              <w:rPr>
                <w:sz w:val="22"/>
                <w:szCs w:val="22"/>
              </w:rPr>
            </w:pPr>
            <w:r w:rsidRPr="007E0CC2">
              <w:rPr>
                <w:rFonts w:hint="eastAsia"/>
                <w:sz w:val="22"/>
                <w:szCs w:val="22"/>
              </w:rPr>
              <w:t>2016</w:t>
            </w:r>
            <w:r w:rsidRPr="007E0CC2">
              <w:rPr>
                <w:rFonts w:hint="eastAsia"/>
                <w:sz w:val="22"/>
                <w:szCs w:val="22"/>
              </w:rPr>
              <w:t>年至</w:t>
            </w:r>
            <w:r w:rsidRPr="007E0CC2">
              <w:rPr>
                <w:rFonts w:hint="eastAsia"/>
                <w:sz w:val="22"/>
                <w:szCs w:val="22"/>
              </w:rPr>
              <w:t>2018</w:t>
            </w:r>
            <w:r w:rsidRPr="007E0CC2">
              <w:rPr>
                <w:rFonts w:hint="eastAsia"/>
                <w:sz w:val="22"/>
                <w:szCs w:val="22"/>
              </w:rPr>
              <w:t>年</w:t>
            </w:r>
          </w:p>
        </w:tc>
        <w:tc>
          <w:tcPr>
            <w:tcW w:w="99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预付设备及工程款</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完成项目建设验收后</w:t>
            </w:r>
            <w:r w:rsidR="00F56665" w:rsidRPr="007E0CC2">
              <w:rPr>
                <w:rFonts w:hint="eastAsia"/>
                <w:sz w:val="22"/>
                <w:szCs w:val="22"/>
              </w:rPr>
              <w:t>，预计</w:t>
            </w:r>
            <w:r w:rsidR="00F56665" w:rsidRPr="007E0CC2">
              <w:rPr>
                <w:rFonts w:hint="eastAsia"/>
                <w:sz w:val="22"/>
                <w:szCs w:val="22"/>
              </w:rPr>
              <w:t>20</w:t>
            </w:r>
            <w:r w:rsidR="00F56665" w:rsidRPr="007E0CC2">
              <w:rPr>
                <w:sz w:val="22"/>
                <w:szCs w:val="22"/>
              </w:rPr>
              <w:t>19</w:t>
            </w:r>
            <w:r w:rsidR="00F56665" w:rsidRPr="007E0CC2">
              <w:rPr>
                <w:rFonts w:hint="eastAsia"/>
                <w:sz w:val="22"/>
                <w:szCs w:val="22"/>
              </w:rPr>
              <w:t>年完成</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其他设备和技术款</w:t>
            </w:r>
            <w:r w:rsidRPr="007E0CC2">
              <w:rPr>
                <w:rFonts w:hint="eastAsia"/>
                <w:sz w:val="22"/>
                <w:szCs w:val="22"/>
              </w:rPr>
              <w:t>*</w:t>
            </w:r>
          </w:p>
        </w:tc>
        <w:tc>
          <w:tcPr>
            <w:tcW w:w="1230"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3,693.13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66390" w:rsidRPr="007E0CC2" w:rsidRDefault="00F66390" w:rsidP="00F66390">
            <w:pPr>
              <w:widowControl/>
              <w:rPr>
                <w:sz w:val="22"/>
                <w:szCs w:val="22"/>
              </w:rPr>
            </w:pPr>
            <w:r w:rsidRPr="007E0CC2">
              <w:rPr>
                <w:rFonts w:hint="eastAsia"/>
                <w:sz w:val="22"/>
                <w:szCs w:val="22"/>
              </w:rPr>
              <w:t>-</w:t>
            </w:r>
          </w:p>
        </w:tc>
        <w:tc>
          <w:tcPr>
            <w:tcW w:w="993" w:type="dxa"/>
            <w:vAlign w:val="center"/>
          </w:tcPr>
          <w:p w:rsidR="00F66390" w:rsidRPr="007E0CC2" w:rsidRDefault="00F66390" w:rsidP="00F66390">
            <w:pPr>
              <w:jc w:val="center"/>
              <w:rPr>
                <w:sz w:val="22"/>
                <w:szCs w:val="22"/>
              </w:rPr>
            </w:pPr>
            <w:r w:rsidRPr="007E0CC2">
              <w:rPr>
                <w:rFonts w:hint="eastAsia"/>
                <w:sz w:val="22"/>
                <w:szCs w:val="22"/>
              </w:rPr>
              <w:t>-</w:t>
            </w:r>
          </w:p>
        </w:tc>
        <w:tc>
          <w:tcPr>
            <w:tcW w:w="1559"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完成验收或相关部门批准</w:t>
            </w:r>
          </w:p>
        </w:tc>
        <w:tc>
          <w:tcPr>
            <w:tcW w:w="1057" w:type="dxa"/>
            <w:vAlign w:val="center"/>
          </w:tcPr>
          <w:p w:rsidR="00F66390" w:rsidRPr="007E0CC2" w:rsidRDefault="00F66390" w:rsidP="00F66390">
            <w:pPr>
              <w:jc w:val="center"/>
              <w:rPr>
                <w:rFonts w:ascii="宋体" w:hAnsi="宋体" w:cs="宋体"/>
                <w:sz w:val="22"/>
                <w:szCs w:val="22"/>
              </w:rPr>
            </w:pPr>
            <w:r w:rsidRPr="007E0CC2">
              <w:rPr>
                <w:rFonts w:hint="eastAsia"/>
                <w:sz w:val="22"/>
                <w:szCs w:val="22"/>
              </w:rPr>
              <w:t>否</w:t>
            </w:r>
          </w:p>
        </w:tc>
      </w:tr>
      <w:tr w:rsidR="007E0CC2" w:rsidRPr="007E0CC2" w:rsidTr="00F56665">
        <w:tc>
          <w:tcPr>
            <w:tcW w:w="2123" w:type="dxa"/>
            <w:vAlign w:val="center"/>
          </w:tcPr>
          <w:p w:rsidR="00F66390" w:rsidRPr="007E0CC2" w:rsidRDefault="00F66390" w:rsidP="00572664">
            <w:pPr>
              <w:spacing w:line="360" w:lineRule="auto"/>
              <w:jc w:val="center"/>
              <w:rPr>
                <w:b/>
                <w:sz w:val="22"/>
                <w:szCs w:val="22"/>
              </w:rPr>
            </w:pPr>
            <w:r w:rsidRPr="007E0CC2">
              <w:rPr>
                <w:b/>
                <w:sz w:val="22"/>
                <w:szCs w:val="22"/>
              </w:rPr>
              <w:t>合计</w:t>
            </w:r>
          </w:p>
        </w:tc>
        <w:tc>
          <w:tcPr>
            <w:tcW w:w="1230" w:type="dxa"/>
            <w:vAlign w:val="center"/>
          </w:tcPr>
          <w:p w:rsidR="00F66390" w:rsidRPr="007E0CC2" w:rsidRDefault="00F66390" w:rsidP="00572664">
            <w:pPr>
              <w:jc w:val="center"/>
              <w:rPr>
                <w:rFonts w:ascii="宋体" w:hAnsi="宋体" w:cs="宋体"/>
                <w:b/>
                <w:sz w:val="22"/>
                <w:szCs w:val="22"/>
              </w:rPr>
            </w:pPr>
            <w:r w:rsidRPr="007E0CC2">
              <w:rPr>
                <w:rFonts w:hint="eastAsia"/>
                <w:b/>
                <w:sz w:val="22"/>
                <w:szCs w:val="22"/>
              </w:rPr>
              <w:t>14,119.59</w:t>
            </w:r>
          </w:p>
        </w:tc>
        <w:tc>
          <w:tcPr>
            <w:tcW w:w="1291" w:type="dxa"/>
          </w:tcPr>
          <w:p w:rsidR="00F66390" w:rsidRPr="007E0CC2" w:rsidRDefault="00F66390" w:rsidP="00572664">
            <w:pPr>
              <w:spacing w:line="360" w:lineRule="auto"/>
              <w:jc w:val="center"/>
              <w:rPr>
                <w:b/>
                <w:sz w:val="22"/>
                <w:szCs w:val="22"/>
              </w:rPr>
            </w:pPr>
          </w:p>
        </w:tc>
        <w:tc>
          <w:tcPr>
            <w:tcW w:w="993" w:type="dxa"/>
            <w:vAlign w:val="center"/>
          </w:tcPr>
          <w:p w:rsidR="00F66390" w:rsidRPr="007E0CC2" w:rsidRDefault="00F66390" w:rsidP="00572664">
            <w:pPr>
              <w:spacing w:line="360" w:lineRule="auto"/>
              <w:jc w:val="center"/>
              <w:rPr>
                <w:b/>
                <w:sz w:val="22"/>
                <w:szCs w:val="22"/>
              </w:rPr>
            </w:pPr>
          </w:p>
        </w:tc>
        <w:tc>
          <w:tcPr>
            <w:tcW w:w="1559" w:type="dxa"/>
            <w:vAlign w:val="center"/>
          </w:tcPr>
          <w:p w:rsidR="00F66390" w:rsidRPr="007E0CC2" w:rsidRDefault="00F66390" w:rsidP="00572664">
            <w:pPr>
              <w:spacing w:line="360" w:lineRule="auto"/>
              <w:jc w:val="center"/>
              <w:rPr>
                <w:b/>
                <w:sz w:val="22"/>
                <w:szCs w:val="22"/>
              </w:rPr>
            </w:pPr>
          </w:p>
        </w:tc>
        <w:tc>
          <w:tcPr>
            <w:tcW w:w="1057" w:type="dxa"/>
            <w:vAlign w:val="center"/>
          </w:tcPr>
          <w:p w:rsidR="00F66390" w:rsidRPr="007E0CC2" w:rsidRDefault="00F66390" w:rsidP="00572664">
            <w:pPr>
              <w:spacing w:line="360" w:lineRule="auto"/>
              <w:jc w:val="center"/>
              <w:rPr>
                <w:b/>
                <w:sz w:val="22"/>
                <w:szCs w:val="22"/>
              </w:rPr>
            </w:pPr>
          </w:p>
        </w:tc>
      </w:tr>
    </w:tbl>
    <w:p w:rsidR="00BF0346" w:rsidRPr="007E0CC2" w:rsidRDefault="00F66390" w:rsidP="00F66390">
      <w:pPr>
        <w:adjustRightInd w:val="0"/>
        <w:snapToGrid w:val="0"/>
        <w:spacing w:line="360" w:lineRule="auto"/>
        <w:ind w:firstLineChars="193" w:firstLine="425"/>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*注：其他设备和技术款3,693.13万元，其中购买技术款1,165.85万元，为2014年至2018年期间形成，经</w:t>
      </w:r>
      <w:r w:rsidR="00E1624B" w:rsidRPr="007E0CC2">
        <w:rPr>
          <w:rFonts w:asciiTheme="minorEastAsia" w:eastAsiaTheme="minorEastAsia" w:hAnsiTheme="minorEastAsia" w:hint="eastAsia"/>
          <w:sz w:val="22"/>
          <w:szCs w:val="24"/>
        </w:rPr>
        <w:t>相关</w:t>
      </w:r>
      <w:r w:rsidRPr="007E0CC2">
        <w:rPr>
          <w:rFonts w:asciiTheme="minorEastAsia" w:eastAsiaTheme="minorEastAsia" w:hAnsiTheme="minorEastAsia" w:hint="eastAsia"/>
          <w:sz w:val="22"/>
          <w:szCs w:val="24"/>
        </w:rPr>
        <w:t>管理机构批准后完成交付；预付设备及工程款2,527.28万元，主要为支付“泸州步长新药产业化基地项目”、“山东步长稳心颗粒二次扩建项目”款项，主要形成时间为2017年至2018年。其中“泸州步长新药产业化基地项目”1</w:t>
      </w:r>
      <w:r w:rsidR="00E1624B" w:rsidRPr="007E0CC2">
        <w:rPr>
          <w:rFonts w:asciiTheme="minorEastAsia" w:eastAsiaTheme="minorEastAsia" w:hAnsiTheme="minorEastAsia"/>
          <w:sz w:val="22"/>
          <w:szCs w:val="24"/>
        </w:rPr>
        <w:t>,</w:t>
      </w:r>
      <w:r w:rsidRPr="007E0CC2">
        <w:rPr>
          <w:rFonts w:asciiTheme="minorEastAsia" w:eastAsiaTheme="minorEastAsia" w:hAnsiTheme="minorEastAsia" w:hint="eastAsia"/>
          <w:sz w:val="22"/>
          <w:szCs w:val="24"/>
        </w:rPr>
        <w:t>870.08万元，项目预计2021年完成</w:t>
      </w:r>
      <w:r w:rsidR="00E1624B" w:rsidRPr="007E0CC2">
        <w:rPr>
          <w:rFonts w:asciiTheme="minorEastAsia" w:eastAsiaTheme="minorEastAsia" w:hAnsiTheme="minorEastAsia" w:hint="eastAsia"/>
          <w:sz w:val="22"/>
          <w:szCs w:val="24"/>
        </w:rPr>
        <w:t>；</w:t>
      </w:r>
      <w:r w:rsidRPr="007E0CC2">
        <w:rPr>
          <w:rFonts w:asciiTheme="minorEastAsia" w:eastAsiaTheme="minorEastAsia" w:hAnsiTheme="minorEastAsia" w:hint="eastAsia"/>
          <w:sz w:val="22"/>
          <w:szCs w:val="24"/>
        </w:rPr>
        <w:t>“山东步长稳心颗粒二次扩建项目”项目257.00万元,项目预计2020年年底完成。除上述两大项目外，其他为零星设备预付款。</w:t>
      </w:r>
    </w:p>
    <w:p w:rsidR="00E40A64" w:rsidRPr="007E0CC2" w:rsidRDefault="00815BD3" w:rsidP="00E40A64">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lastRenderedPageBreak/>
        <w:t>12.</w:t>
      </w:r>
      <w:r w:rsidR="00A1703B" w:rsidRPr="007E0CC2">
        <w:rPr>
          <w:rFonts w:asciiTheme="minorEastAsia" w:eastAsiaTheme="minorEastAsia" w:hAnsiTheme="minorEastAsia" w:hint="eastAsia"/>
          <w:b/>
          <w:sz w:val="22"/>
          <w:szCs w:val="24"/>
        </w:rPr>
        <w:t>现金流。</w:t>
      </w:r>
      <w:r w:rsidR="00E40A64" w:rsidRPr="007E0CC2">
        <w:rPr>
          <w:rFonts w:asciiTheme="minorEastAsia" w:eastAsiaTheme="minorEastAsia" w:hAnsiTheme="minorEastAsia" w:hint="eastAsia"/>
          <w:b/>
          <w:sz w:val="22"/>
          <w:szCs w:val="24"/>
        </w:rPr>
        <w:t>年报显示，公司各季度经营活动产生的现金流量净额分为1.40 亿元、13.78亿元、7.05亿元和-1.73亿元，差异显著。此外，支付的其他与经营活动有关的现金中列示市场借款项目1.48亿元。请公司：</w:t>
      </w:r>
    </w:p>
    <w:p w:rsidR="00E40A64" w:rsidRPr="007E0CC2" w:rsidRDefault="00E40A64" w:rsidP="00E40A64">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hint="eastAsia"/>
          <w:b/>
          <w:sz w:val="22"/>
          <w:szCs w:val="24"/>
        </w:rPr>
        <w:t>（1）分析说明各季度经营活动产生的现金流量净额大幅波动的具体原因；</w:t>
      </w:r>
    </w:p>
    <w:p w:rsidR="00E40A64" w:rsidRPr="007E0CC2" w:rsidRDefault="00E40A64" w:rsidP="00E40A64">
      <w:pPr>
        <w:adjustRightInd w:val="0"/>
        <w:snapToGrid w:val="0"/>
        <w:spacing w:line="360" w:lineRule="auto"/>
        <w:ind w:firstLineChars="200" w:firstLine="442"/>
        <w:rPr>
          <w:rFonts w:asciiTheme="minorEastAsia" w:eastAsiaTheme="minorEastAsia" w:hAnsiTheme="minorEastAsia"/>
          <w:b/>
          <w:sz w:val="22"/>
          <w:szCs w:val="24"/>
        </w:rPr>
      </w:pPr>
      <w:r w:rsidRPr="007E0CC2">
        <w:rPr>
          <w:rFonts w:asciiTheme="minorEastAsia" w:eastAsiaTheme="minorEastAsia" w:hAnsiTheme="minorEastAsia"/>
          <w:b/>
          <w:sz w:val="22"/>
          <w:szCs w:val="24"/>
        </w:rPr>
        <w:t>回复</w:t>
      </w:r>
      <w:r w:rsidRPr="007E0CC2">
        <w:rPr>
          <w:rFonts w:asciiTheme="minorEastAsia" w:eastAsiaTheme="minorEastAsia" w:hAnsiTheme="minorEastAsia" w:hint="eastAsia"/>
          <w:b/>
          <w:sz w:val="22"/>
          <w:szCs w:val="24"/>
        </w:rPr>
        <w:t>：</w:t>
      </w:r>
    </w:p>
    <w:p w:rsidR="00E40A64" w:rsidRPr="007E0CC2" w:rsidRDefault="00E40A64" w:rsidP="00E40A64">
      <w:pPr>
        <w:spacing w:line="360" w:lineRule="auto"/>
        <w:ind w:firstLineChars="200" w:firstLine="440"/>
        <w:rPr>
          <w:sz w:val="22"/>
          <w:szCs w:val="22"/>
        </w:rPr>
      </w:pPr>
      <w:r w:rsidRPr="007E0CC2">
        <w:rPr>
          <w:rFonts w:hint="eastAsia"/>
          <w:sz w:val="22"/>
          <w:szCs w:val="22"/>
        </w:rPr>
        <w:t>公司第二季度的销售商品，提供劳务收到的现金增加，是由于第二季度应收账款、应收票据减少所致。从而使第二季度经营活动现金流净额大幅增加；第三季度虽然销售商品、提供劳务收到的现金相对第二季度有所减少，但相较一、四季度仍然较高，所以第三季度经营活动现金流净额也较高；第四季度随着收入的增加应收账款及应收票据也相应增加，销售商品、提供劳务收到的现金减少从而使第四季度经营活动现金流量净额减少。</w:t>
      </w:r>
    </w:p>
    <w:p w:rsidR="00EB1356" w:rsidRPr="007E0CC2" w:rsidRDefault="00EB1356" w:rsidP="00EB1356">
      <w:pPr>
        <w:spacing w:line="360" w:lineRule="auto"/>
        <w:ind w:firstLineChars="200" w:firstLine="440"/>
        <w:rPr>
          <w:sz w:val="22"/>
          <w:szCs w:val="22"/>
        </w:rPr>
      </w:pPr>
      <w:r w:rsidRPr="007E0CC2">
        <w:rPr>
          <w:rFonts w:hint="eastAsia"/>
          <w:sz w:val="22"/>
          <w:szCs w:val="22"/>
        </w:rPr>
        <w:t>其中应收票据各季度变动较大原因主要为，公司基本于年底集中收到承兑汇票，承兑汇票期限基本为</w:t>
      </w:r>
      <w:r w:rsidRPr="007E0CC2">
        <w:rPr>
          <w:rFonts w:hint="eastAsia"/>
          <w:sz w:val="22"/>
          <w:szCs w:val="22"/>
        </w:rPr>
        <w:t>6</w:t>
      </w:r>
      <w:r w:rsidRPr="007E0CC2">
        <w:rPr>
          <w:rFonts w:hint="eastAsia"/>
          <w:sz w:val="22"/>
          <w:szCs w:val="22"/>
        </w:rPr>
        <w:t>个月，因此二季度末大部分票据已到期解付，使得第二、三季度应收票据余额减少；应收账款及预收款项的变动主要是由于各季度收入变动引起，与各季度收入变动情况基本一致。</w:t>
      </w:r>
    </w:p>
    <w:p w:rsidR="00E40A64" w:rsidRPr="007E0CC2" w:rsidRDefault="00E40A64" w:rsidP="00E40A64">
      <w:pPr>
        <w:spacing w:line="360" w:lineRule="auto"/>
        <w:ind w:firstLineChars="200" w:firstLine="440"/>
        <w:rPr>
          <w:sz w:val="22"/>
          <w:szCs w:val="22"/>
        </w:rPr>
      </w:pPr>
      <w:r w:rsidRPr="007E0CC2">
        <w:rPr>
          <w:rFonts w:hint="eastAsia"/>
          <w:sz w:val="22"/>
          <w:szCs w:val="22"/>
        </w:rPr>
        <w:t>故本年度各季度经营活动产生的现金流净额大幅波动主要是销售商品提供劳务活动收到的现金波动所致，属于正常波动。</w:t>
      </w:r>
    </w:p>
    <w:p w:rsidR="00376FA6" w:rsidRPr="007E0CC2" w:rsidRDefault="00376FA6" w:rsidP="00E40A64">
      <w:pPr>
        <w:adjustRightInd w:val="0"/>
        <w:snapToGrid w:val="0"/>
        <w:spacing w:line="360" w:lineRule="auto"/>
        <w:ind w:firstLineChars="200" w:firstLine="440"/>
        <w:rPr>
          <w:rFonts w:asciiTheme="minorEastAsia" w:eastAsiaTheme="minorEastAsia" w:hAnsiTheme="minorEastAsia"/>
          <w:sz w:val="22"/>
          <w:szCs w:val="24"/>
        </w:rPr>
      </w:pPr>
    </w:p>
    <w:p w:rsidR="00D5516E" w:rsidRPr="007E0CC2" w:rsidRDefault="00667AE8" w:rsidP="00BF0346">
      <w:pPr>
        <w:adjustRightInd w:val="0"/>
        <w:snapToGrid w:val="0"/>
        <w:spacing w:line="360" w:lineRule="auto"/>
        <w:ind w:firstLineChars="200" w:firstLine="44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公司指定的信息披露媒体为《上海证券报》、《中国证券报》、《证券时报》、《证券日报》和上海证券交易所网站（http://www.sse.com.cn），敬请投资者关注相关公告</w:t>
      </w:r>
      <w:r w:rsidR="00CE7A19" w:rsidRPr="007E0CC2">
        <w:rPr>
          <w:rFonts w:asciiTheme="minorEastAsia" w:eastAsiaTheme="minorEastAsia" w:hAnsiTheme="minorEastAsia" w:hint="eastAsia"/>
          <w:sz w:val="22"/>
          <w:szCs w:val="24"/>
        </w:rPr>
        <w:t>，并注意投资风险</w:t>
      </w:r>
      <w:r w:rsidRPr="007E0CC2">
        <w:rPr>
          <w:rFonts w:asciiTheme="minorEastAsia" w:eastAsiaTheme="minorEastAsia" w:hAnsiTheme="minorEastAsia" w:hint="eastAsia"/>
          <w:sz w:val="22"/>
          <w:szCs w:val="24"/>
        </w:rPr>
        <w:t>。</w:t>
      </w:r>
    </w:p>
    <w:p w:rsidR="00D5516E" w:rsidRPr="007E0CC2" w:rsidRDefault="00D5516E" w:rsidP="00802952">
      <w:pPr>
        <w:adjustRightInd w:val="0"/>
        <w:snapToGrid w:val="0"/>
        <w:spacing w:line="360" w:lineRule="auto"/>
        <w:ind w:firstLineChars="200" w:firstLine="480"/>
        <w:rPr>
          <w:rFonts w:asciiTheme="minorEastAsia" w:eastAsiaTheme="minorEastAsia" w:hAnsiTheme="minorEastAsia"/>
          <w:sz w:val="24"/>
          <w:szCs w:val="24"/>
        </w:rPr>
      </w:pPr>
    </w:p>
    <w:p w:rsidR="00D5516E" w:rsidRPr="007E0CC2" w:rsidRDefault="00F6170B" w:rsidP="00802952">
      <w:pPr>
        <w:adjustRightInd w:val="0"/>
        <w:snapToGrid w:val="0"/>
        <w:spacing w:line="360" w:lineRule="auto"/>
        <w:ind w:firstLineChars="200" w:firstLine="440"/>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特此公告。</w:t>
      </w:r>
    </w:p>
    <w:p w:rsidR="00D5516E" w:rsidRPr="007E0CC2" w:rsidRDefault="00D5516E" w:rsidP="002D721D">
      <w:pPr>
        <w:adjustRightInd w:val="0"/>
        <w:snapToGrid w:val="0"/>
        <w:spacing w:line="360" w:lineRule="auto"/>
        <w:ind w:right="360"/>
        <w:jc w:val="right"/>
        <w:rPr>
          <w:rFonts w:asciiTheme="minorEastAsia" w:eastAsiaTheme="minorEastAsia" w:hAnsiTheme="minorEastAsia"/>
          <w:sz w:val="22"/>
          <w:szCs w:val="24"/>
        </w:rPr>
      </w:pPr>
    </w:p>
    <w:p w:rsidR="00A662A7" w:rsidRPr="007E0CC2" w:rsidRDefault="00A662A7" w:rsidP="002D721D">
      <w:pPr>
        <w:adjustRightInd w:val="0"/>
        <w:snapToGrid w:val="0"/>
        <w:spacing w:line="360" w:lineRule="auto"/>
        <w:ind w:right="360"/>
        <w:jc w:val="right"/>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山东步长制药股份有限公司</w:t>
      </w:r>
      <w:r w:rsidR="0096429B" w:rsidRPr="007E0CC2">
        <w:rPr>
          <w:rFonts w:asciiTheme="minorEastAsia" w:eastAsiaTheme="minorEastAsia" w:hAnsiTheme="minorEastAsia" w:hint="eastAsia"/>
          <w:sz w:val="22"/>
          <w:szCs w:val="24"/>
        </w:rPr>
        <w:t>董</w:t>
      </w:r>
      <w:r w:rsidR="006E2492" w:rsidRPr="007E0CC2">
        <w:rPr>
          <w:rFonts w:asciiTheme="minorEastAsia" w:eastAsiaTheme="minorEastAsia" w:hAnsiTheme="minorEastAsia" w:hint="eastAsia"/>
          <w:sz w:val="22"/>
          <w:szCs w:val="24"/>
        </w:rPr>
        <w:t>事会</w:t>
      </w:r>
    </w:p>
    <w:p w:rsidR="00625F38" w:rsidRPr="007E0CC2" w:rsidRDefault="00B10A15" w:rsidP="00BF0346">
      <w:pPr>
        <w:wordWrap w:val="0"/>
        <w:adjustRightInd w:val="0"/>
        <w:snapToGrid w:val="0"/>
        <w:spacing w:line="360" w:lineRule="auto"/>
        <w:ind w:right="360"/>
        <w:jc w:val="right"/>
        <w:rPr>
          <w:rFonts w:asciiTheme="minorEastAsia" w:eastAsiaTheme="minorEastAsia" w:hAnsiTheme="minorEastAsia"/>
          <w:sz w:val="22"/>
          <w:szCs w:val="24"/>
        </w:rPr>
      </w:pPr>
      <w:r w:rsidRPr="007E0CC2">
        <w:rPr>
          <w:rFonts w:asciiTheme="minorEastAsia" w:eastAsiaTheme="minorEastAsia" w:hAnsiTheme="minorEastAsia" w:hint="eastAsia"/>
          <w:sz w:val="22"/>
          <w:szCs w:val="24"/>
        </w:rPr>
        <w:t>201</w:t>
      </w:r>
      <w:r w:rsidR="008B6E4A" w:rsidRPr="007E0CC2">
        <w:rPr>
          <w:rFonts w:asciiTheme="minorEastAsia" w:eastAsiaTheme="minorEastAsia" w:hAnsiTheme="minorEastAsia" w:hint="eastAsia"/>
          <w:sz w:val="22"/>
          <w:szCs w:val="24"/>
        </w:rPr>
        <w:t>9</w:t>
      </w:r>
      <w:r w:rsidR="00F6170B" w:rsidRPr="007E0CC2">
        <w:rPr>
          <w:rFonts w:asciiTheme="minorEastAsia" w:eastAsiaTheme="minorEastAsia" w:hAnsiTheme="minorEastAsia" w:hint="eastAsia"/>
          <w:sz w:val="22"/>
          <w:szCs w:val="24"/>
        </w:rPr>
        <w:t>年</w:t>
      </w:r>
      <w:r w:rsidR="00C57A9C" w:rsidRPr="007E0CC2">
        <w:rPr>
          <w:rFonts w:asciiTheme="minorEastAsia" w:eastAsiaTheme="minorEastAsia" w:hAnsiTheme="minorEastAsia" w:hint="eastAsia"/>
          <w:sz w:val="22"/>
          <w:szCs w:val="24"/>
        </w:rPr>
        <w:t>6</w:t>
      </w:r>
      <w:r w:rsidR="00F6170B" w:rsidRPr="007E0CC2">
        <w:rPr>
          <w:rFonts w:asciiTheme="minorEastAsia" w:eastAsiaTheme="minorEastAsia" w:hAnsiTheme="minorEastAsia" w:hint="eastAsia"/>
          <w:sz w:val="22"/>
          <w:szCs w:val="24"/>
        </w:rPr>
        <w:t>月</w:t>
      </w:r>
      <w:r w:rsidR="00C57A9C" w:rsidRPr="007E0CC2">
        <w:rPr>
          <w:rFonts w:asciiTheme="minorEastAsia" w:eastAsiaTheme="minorEastAsia" w:hAnsiTheme="minorEastAsia" w:hint="eastAsia"/>
          <w:sz w:val="22"/>
          <w:szCs w:val="24"/>
        </w:rPr>
        <w:t>1</w:t>
      </w:r>
      <w:r w:rsidR="00F6170B" w:rsidRPr="007E0CC2">
        <w:rPr>
          <w:rFonts w:asciiTheme="minorEastAsia" w:eastAsiaTheme="minorEastAsia" w:hAnsiTheme="minorEastAsia" w:hint="eastAsia"/>
          <w:sz w:val="22"/>
          <w:szCs w:val="24"/>
        </w:rPr>
        <w:t>日</w:t>
      </w:r>
      <w:bookmarkStart w:id="1" w:name="_GoBack"/>
      <w:bookmarkEnd w:id="1"/>
    </w:p>
    <w:sectPr w:rsidR="00625F38" w:rsidRPr="007E0CC2" w:rsidSect="003E3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4F" w:rsidRDefault="00974B4F" w:rsidP="00FA7273">
      <w:r>
        <w:separator/>
      </w:r>
    </w:p>
  </w:endnote>
  <w:endnote w:type="continuationSeparator" w:id="0">
    <w:p w:rsidR="00974B4F" w:rsidRDefault="00974B4F"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352047"/>
      <w:docPartObj>
        <w:docPartGallery w:val="Page Numbers (Bottom of Page)"/>
        <w:docPartUnique/>
      </w:docPartObj>
    </w:sdtPr>
    <w:sdtEndPr/>
    <w:sdtContent>
      <w:p w:rsidR="00CC7A61" w:rsidRDefault="00783109" w:rsidP="000D0240">
        <w:pPr>
          <w:pStyle w:val="a5"/>
          <w:jc w:val="center"/>
        </w:pPr>
        <w:r>
          <w:fldChar w:fldCharType="begin"/>
        </w:r>
        <w:r w:rsidR="00CC7A61">
          <w:instrText>PAGE   \* MERGEFORMAT</w:instrText>
        </w:r>
        <w:r>
          <w:fldChar w:fldCharType="separate"/>
        </w:r>
        <w:r w:rsidR="00987812" w:rsidRPr="00987812">
          <w:rPr>
            <w:noProof/>
            <w:lang w:val="zh-CN"/>
          </w:rPr>
          <w:t>9</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4F" w:rsidRDefault="00974B4F" w:rsidP="00FA7273">
      <w:r>
        <w:separator/>
      </w:r>
    </w:p>
  </w:footnote>
  <w:footnote w:type="continuationSeparator" w:id="0">
    <w:p w:rsidR="00974B4F" w:rsidRDefault="00974B4F" w:rsidP="00FA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B0E2D"/>
    <w:multiLevelType w:val="hybridMultilevel"/>
    <w:tmpl w:val="CA2C924E"/>
    <w:lvl w:ilvl="0" w:tplc="B85C3FE0">
      <w:start w:val="1"/>
      <w:numFmt w:val="decimal"/>
      <w:lvlText w:val="%1）"/>
      <w:lvlJc w:val="left"/>
      <w:pPr>
        <w:ind w:left="802" w:hanging="360"/>
      </w:pPr>
      <w:rPr>
        <w:rFonts w:asciiTheme="minorEastAsia" w:eastAsiaTheme="minorEastAsia" w:hAnsiTheme="minorEastAsia" w:hint="default"/>
        <w:b/>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 w15:restartNumberingAfterBreak="0">
    <w:nsid w:val="0C8B5415"/>
    <w:multiLevelType w:val="hybridMultilevel"/>
    <w:tmpl w:val="8006CEDE"/>
    <w:lvl w:ilvl="0" w:tplc="B29E034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DA80930"/>
    <w:multiLevelType w:val="hybridMultilevel"/>
    <w:tmpl w:val="BE381A2C"/>
    <w:lvl w:ilvl="0" w:tplc="9E28CD90">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160C75C4"/>
    <w:multiLevelType w:val="hybridMultilevel"/>
    <w:tmpl w:val="DF58B4DE"/>
    <w:lvl w:ilvl="0" w:tplc="C2C4793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15:restartNumberingAfterBreak="0">
    <w:nsid w:val="161D0FBA"/>
    <w:multiLevelType w:val="hybridMultilevel"/>
    <w:tmpl w:val="44A49536"/>
    <w:lvl w:ilvl="0" w:tplc="4F0A8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9A1F12"/>
    <w:multiLevelType w:val="hybridMultilevel"/>
    <w:tmpl w:val="8A7426DC"/>
    <w:lvl w:ilvl="0" w:tplc="9A5C3FF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24DB20F9"/>
    <w:multiLevelType w:val="hybridMultilevel"/>
    <w:tmpl w:val="44840DCC"/>
    <w:lvl w:ilvl="0" w:tplc="6BF4CA94">
      <w:start w:val="1"/>
      <w:numFmt w:val="decimalEnclosedCircle"/>
      <w:lvlText w:val="%1"/>
      <w:lvlJc w:val="left"/>
      <w:pPr>
        <w:ind w:left="800" w:hanging="360"/>
      </w:pPr>
      <w:rPr>
        <w:rFonts w:hAnsi="宋体" w:hint="default"/>
        <w:color w:val="auto"/>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15:restartNumberingAfterBreak="0">
    <w:nsid w:val="2E4C6116"/>
    <w:multiLevelType w:val="hybridMultilevel"/>
    <w:tmpl w:val="47F4BDDA"/>
    <w:lvl w:ilvl="0" w:tplc="E852544C">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3B4755FF"/>
    <w:multiLevelType w:val="hybridMultilevel"/>
    <w:tmpl w:val="5030B60A"/>
    <w:lvl w:ilvl="0" w:tplc="D7D47E4A">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D244CEE"/>
    <w:multiLevelType w:val="hybridMultilevel"/>
    <w:tmpl w:val="F88226CE"/>
    <w:lvl w:ilvl="0" w:tplc="C7102E78">
      <w:start w:val="1"/>
      <w:numFmt w:val="decimal"/>
      <w:lvlText w:val="%1）"/>
      <w:lvlJc w:val="left"/>
      <w:pPr>
        <w:ind w:left="802" w:hanging="360"/>
      </w:pPr>
      <w:rPr>
        <w:rFonts w:ascii="宋体" w:hAnsi="宋体" w:hint="default"/>
        <w:b/>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1" w15:restartNumberingAfterBreak="0">
    <w:nsid w:val="436B2737"/>
    <w:multiLevelType w:val="hybridMultilevel"/>
    <w:tmpl w:val="956E0EB8"/>
    <w:lvl w:ilvl="0" w:tplc="A4469E1E">
      <w:start w:val="1"/>
      <w:numFmt w:val="decimal"/>
      <w:lvlText w:val="%1）"/>
      <w:lvlJc w:val="left"/>
      <w:pPr>
        <w:ind w:left="802" w:hanging="360"/>
      </w:pPr>
      <w:rPr>
        <w:rFonts w:ascii="宋体" w:hAnsi="宋体" w:hint="default"/>
        <w:b/>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2" w15:restartNumberingAfterBreak="0">
    <w:nsid w:val="44BA578B"/>
    <w:multiLevelType w:val="hybridMultilevel"/>
    <w:tmpl w:val="87FC746C"/>
    <w:lvl w:ilvl="0" w:tplc="F01E6BE4">
      <w:start w:val="3"/>
      <w:numFmt w:val="decimalEnclosedCircle"/>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6C1123"/>
    <w:multiLevelType w:val="hybridMultilevel"/>
    <w:tmpl w:val="AE600E86"/>
    <w:lvl w:ilvl="0" w:tplc="345E466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49B15A2C"/>
    <w:multiLevelType w:val="hybridMultilevel"/>
    <w:tmpl w:val="B3461BCE"/>
    <w:lvl w:ilvl="0" w:tplc="AA0E4AD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5AF47F08"/>
    <w:multiLevelType w:val="hybridMultilevel"/>
    <w:tmpl w:val="5A9441E8"/>
    <w:lvl w:ilvl="0" w:tplc="6AACA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B52043"/>
    <w:multiLevelType w:val="hybridMultilevel"/>
    <w:tmpl w:val="3182C154"/>
    <w:lvl w:ilvl="0" w:tplc="F560287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65D15124"/>
    <w:multiLevelType w:val="hybridMultilevel"/>
    <w:tmpl w:val="D3865D58"/>
    <w:lvl w:ilvl="0" w:tplc="47001B1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15:restartNumberingAfterBreak="0">
    <w:nsid w:val="6AD4052D"/>
    <w:multiLevelType w:val="hybridMultilevel"/>
    <w:tmpl w:val="61824A40"/>
    <w:lvl w:ilvl="0" w:tplc="C35E756E">
      <w:start w:val="1"/>
      <w:numFmt w:val="decimalEnclosedCircle"/>
      <w:lvlText w:val="%1"/>
      <w:lvlJc w:val="left"/>
      <w:pPr>
        <w:ind w:left="800" w:hanging="360"/>
      </w:pPr>
      <w:rPr>
        <w:rFonts w:hAnsi="宋体" w:hint="default"/>
        <w:color w:val="auto"/>
        <w:sz w:val="22"/>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15:restartNumberingAfterBreak="0">
    <w:nsid w:val="74176F4A"/>
    <w:multiLevelType w:val="hybridMultilevel"/>
    <w:tmpl w:val="179E6CD6"/>
    <w:lvl w:ilvl="0" w:tplc="BE0207B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15:restartNumberingAfterBreak="0">
    <w:nsid w:val="79202136"/>
    <w:multiLevelType w:val="hybridMultilevel"/>
    <w:tmpl w:val="C324B592"/>
    <w:lvl w:ilvl="0" w:tplc="5E9ACD68">
      <w:start w:val="4"/>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15:restartNumberingAfterBreak="0">
    <w:nsid w:val="7DD70634"/>
    <w:multiLevelType w:val="hybridMultilevel"/>
    <w:tmpl w:val="061A740E"/>
    <w:lvl w:ilvl="0" w:tplc="9F5E65A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6"/>
  </w:num>
  <w:num w:numId="5">
    <w:abstractNumId w:val="19"/>
  </w:num>
  <w:num w:numId="6">
    <w:abstractNumId w:val="7"/>
  </w:num>
  <w:num w:numId="7">
    <w:abstractNumId w:val="17"/>
  </w:num>
  <w:num w:numId="8">
    <w:abstractNumId w:val="1"/>
  </w:num>
  <w:num w:numId="9">
    <w:abstractNumId w:val="11"/>
  </w:num>
  <w:num w:numId="10">
    <w:abstractNumId w:val="18"/>
  </w:num>
  <w:num w:numId="11">
    <w:abstractNumId w:val="8"/>
  </w:num>
  <w:num w:numId="12">
    <w:abstractNumId w:val="13"/>
  </w:num>
  <w:num w:numId="13">
    <w:abstractNumId w:val="10"/>
  </w:num>
  <w:num w:numId="14">
    <w:abstractNumId w:val="15"/>
  </w:num>
  <w:num w:numId="15">
    <w:abstractNumId w:val="12"/>
  </w:num>
  <w:num w:numId="16">
    <w:abstractNumId w:val="9"/>
  </w:num>
  <w:num w:numId="17">
    <w:abstractNumId w:val="20"/>
  </w:num>
  <w:num w:numId="18">
    <w:abstractNumId w:val="5"/>
  </w:num>
  <w:num w:numId="19">
    <w:abstractNumId w:val="3"/>
  </w:num>
  <w:num w:numId="20">
    <w:abstractNumId w:val="4"/>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170B"/>
    <w:rsid w:val="00004411"/>
    <w:rsid w:val="000059BD"/>
    <w:rsid w:val="00007CE6"/>
    <w:rsid w:val="00007DE8"/>
    <w:rsid w:val="00024BCD"/>
    <w:rsid w:val="00030715"/>
    <w:rsid w:val="00033302"/>
    <w:rsid w:val="00036911"/>
    <w:rsid w:val="000371DE"/>
    <w:rsid w:val="00037849"/>
    <w:rsid w:val="00041060"/>
    <w:rsid w:val="00041930"/>
    <w:rsid w:val="00050116"/>
    <w:rsid w:val="00063169"/>
    <w:rsid w:val="0006683A"/>
    <w:rsid w:val="0006769F"/>
    <w:rsid w:val="00070F29"/>
    <w:rsid w:val="00071C86"/>
    <w:rsid w:val="00074C67"/>
    <w:rsid w:val="00081CCE"/>
    <w:rsid w:val="00085C24"/>
    <w:rsid w:val="00090BCE"/>
    <w:rsid w:val="00095EF3"/>
    <w:rsid w:val="00097FC2"/>
    <w:rsid w:val="000A0BDD"/>
    <w:rsid w:val="000B3B16"/>
    <w:rsid w:val="000B4444"/>
    <w:rsid w:val="000B68A4"/>
    <w:rsid w:val="000C1D49"/>
    <w:rsid w:val="000C21D6"/>
    <w:rsid w:val="000C25AF"/>
    <w:rsid w:val="000C452F"/>
    <w:rsid w:val="000C683C"/>
    <w:rsid w:val="000D0240"/>
    <w:rsid w:val="000D09AC"/>
    <w:rsid w:val="000D289D"/>
    <w:rsid w:val="000D503D"/>
    <w:rsid w:val="000E5138"/>
    <w:rsid w:val="000E7740"/>
    <w:rsid w:val="000E7AAE"/>
    <w:rsid w:val="000F3C07"/>
    <w:rsid w:val="0010797E"/>
    <w:rsid w:val="0011073F"/>
    <w:rsid w:val="0011752C"/>
    <w:rsid w:val="00117817"/>
    <w:rsid w:val="00120332"/>
    <w:rsid w:val="00120E96"/>
    <w:rsid w:val="00124B69"/>
    <w:rsid w:val="00124C6F"/>
    <w:rsid w:val="0012520D"/>
    <w:rsid w:val="00126938"/>
    <w:rsid w:val="001269BC"/>
    <w:rsid w:val="001302D5"/>
    <w:rsid w:val="00131A5C"/>
    <w:rsid w:val="00144096"/>
    <w:rsid w:val="0015056A"/>
    <w:rsid w:val="001505CF"/>
    <w:rsid w:val="00150A1E"/>
    <w:rsid w:val="00152FA4"/>
    <w:rsid w:val="001566CE"/>
    <w:rsid w:val="00156D7B"/>
    <w:rsid w:val="0015758E"/>
    <w:rsid w:val="00162DE6"/>
    <w:rsid w:val="00163FA0"/>
    <w:rsid w:val="0017004F"/>
    <w:rsid w:val="0017409B"/>
    <w:rsid w:val="00184B5E"/>
    <w:rsid w:val="00185EE5"/>
    <w:rsid w:val="00186CAA"/>
    <w:rsid w:val="00187BF9"/>
    <w:rsid w:val="0019031B"/>
    <w:rsid w:val="00190FFC"/>
    <w:rsid w:val="0019309A"/>
    <w:rsid w:val="00195BD6"/>
    <w:rsid w:val="00196231"/>
    <w:rsid w:val="00196D89"/>
    <w:rsid w:val="001B1CF6"/>
    <w:rsid w:val="001B31BD"/>
    <w:rsid w:val="001B3913"/>
    <w:rsid w:val="001B502E"/>
    <w:rsid w:val="001B5734"/>
    <w:rsid w:val="001C1672"/>
    <w:rsid w:val="001D173D"/>
    <w:rsid w:val="001D33B1"/>
    <w:rsid w:val="001E14E6"/>
    <w:rsid w:val="001E279E"/>
    <w:rsid w:val="001E2EBD"/>
    <w:rsid w:val="001E44BC"/>
    <w:rsid w:val="001E4FD4"/>
    <w:rsid w:val="001E5A4D"/>
    <w:rsid w:val="001F106A"/>
    <w:rsid w:val="001F4ED0"/>
    <w:rsid w:val="001F59BF"/>
    <w:rsid w:val="001F5CE3"/>
    <w:rsid w:val="001F5F57"/>
    <w:rsid w:val="001F60FB"/>
    <w:rsid w:val="00202E56"/>
    <w:rsid w:val="00205D15"/>
    <w:rsid w:val="00210DC7"/>
    <w:rsid w:val="00211FAF"/>
    <w:rsid w:val="00213417"/>
    <w:rsid w:val="00217595"/>
    <w:rsid w:val="00224724"/>
    <w:rsid w:val="002256CA"/>
    <w:rsid w:val="00233594"/>
    <w:rsid w:val="002440AA"/>
    <w:rsid w:val="00244103"/>
    <w:rsid w:val="00245160"/>
    <w:rsid w:val="00245DFB"/>
    <w:rsid w:val="002630AC"/>
    <w:rsid w:val="0026569B"/>
    <w:rsid w:val="00270747"/>
    <w:rsid w:val="0027084C"/>
    <w:rsid w:val="00270D3C"/>
    <w:rsid w:val="00275B2E"/>
    <w:rsid w:val="002762E5"/>
    <w:rsid w:val="0028241B"/>
    <w:rsid w:val="00286F19"/>
    <w:rsid w:val="00287738"/>
    <w:rsid w:val="002921B0"/>
    <w:rsid w:val="0029247F"/>
    <w:rsid w:val="00296ADE"/>
    <w:rsid w:val="002972BB"/>
    <w:rsid w:val="002A0397"/>
    <w:rsid w:val="002A64C0"/>
    <w:rsid w:val="002A7084"/>
    <w:rsid w:val="002A7E4B"/>
    <w:rsid w:val="002B1027"/>
    <w:rsid w:val="002B2C82"/>
    <w:rsid w:val="002B351A"/>
    <w:rsid w:val="002B7D8F"/>
    <w:rsid w:val="002C0AF3"/>
    <w:rsid w:val="002C1499"/>
    <w:rsid w:val="002C24AE"/>
    <w:rsid w:val="002C6DC2"/>
    <w:rsid w:val="002D3DA7"/>
    <w:rsid w:val="002D721D"/>
    <w:rsid w:val="002D7323"/>
    <w:rsid w:val="002E081E"/>
    <w:rsid w:val="002E303B"/>
    <w:rsid w:val="002F00AB"/>
    <w:rsid w:val="002F3B1C"/>
    <w:rsid w:val="002F6059"/>
    <w:rsid w:val="002F703F"/>
    <w:rsid w:val="00300BBD"/>
    <w:rsid w:val="00301E37"/>
    <w:rsid w:val="00302EE8"/>
    <w:rsid w:val="003055F4"/>
    <w:rsid w:val="00305EEB"/>
    <w:rsid w:val="0030707B"/>
    <w:rsid w:val="0031147F"/>
    <w:rsid w:val="0031458F"/>
    <w:rsid w:val="00317481"/>
    <w:rsid w:val="003204EF"/>
    <w:rsid w:val="003321F5"/>
    <w:rsid w:val="00334942"/>
    <w:rsid w:val="00335BD1"/>
    <w:rsid w:val="00350B5C"/>
    <w:rsid w:val="00356947"/>
    <w:rsid w:val="003627B3"/>
    <w:rsid w:val="0036376E"/>
    <w:rsid w:val="00365A2A"/>
    <w:rsid w:val="00367805"/>
    <w:rsid w:val="00376FA6"/>
    <w:rsid w:val="00380D8C"/>
    <w:rsid w:val="00381348"/>
    <w:rsid w:val="00382550"/>
    <w:rsid w:val="00382C9E"/>
    <w:rsid w:val="003837FF"/>
    <w:rsid w:val="00383BA5"/>
    <w:rsid w:val="00393B2E"/>
    <w:rsid w:val="003949BC"/>
    <w:rsid w:val="00397618"/>
    <w:rsid w:val="003A2B9C"/>
    <w:rsid w:val="003A5A46"/>
    <w:rsid w:val="003A5A4F"/>
    <w:rsid w:val="003B415E"/>
    <w:rsid w:val="003B43CD"/>
    <w:rsid w:val="003C3E37"/>
    <w:rsid w:val="003C4D95"/>
    <w:rsid w:val="003D184C"/>
    <w:rsid w:val="003D26A2"/>
    <w:rsid w:val="003D2FF6"/>
    <w:rsid w:val="003D3841"/>
    <w:rsid w:val="003D3925"/>
    <w:rsid w:val="003D39E3"/>
    <w:rsid w:val="003D5B80"/>
    <w:rsid w:val="003D6DE1"/>
    <w:rsid w:val="003D7BA4"/>
    <w:rsid w:val="003E0491"/>
    <w:rsid w:val="003E2188"/>
    <w:rsid w:val="003E33EE"/>
    <w:rsid w:val="003E3835"/>
    <w:rsid w:val="003E5CFE"/>
    <w:rsid w:val="003E7870"/>
    <w:rsid w:val="003F2CB4"/>
    <w:rsid w:val="003F42EC"/>
    <w:rsid w:val="003F4A3B"/>
    <w:rsid w:val="003F4DB1"/>
    <w:rsid w:val="003F7A22"/>
    <w:rsid w:val="0040080B"/>
    <w:rsid w:val="0040426C"/>
    <w:rsid w:val="00405F3C"/>
    <w:rsid w:val="00411114"/>
    <w:rsid w:val="0041173E"/>
    <w:rsid w:val="00416280"/>
    <w:rsid w:val="00416774"/>
    <w:rsid w:val="00422EFD"/>
    <w:rsid w:val="00431D78"/>
    <w:rsid w:val="00433F1A"/>
    <w:rsid w:val="00435DAD"/>
    <w:rsid w:val="00445440"/>
    <w:rsid w:val="00445DBE"/>
    <w:rsid w:val="00446747"/>
    <w:rsid w:val="00447BA0"/>
    <w:rsid w:val="004503E2"/>
    <w:rsid w:val="004553BB"/>
    <w:rsid w:val="0045781A"/>
    <w:rsid w:val="00463836"/>
    <w:rsid w:val="00464A82"/>
    <w:rsid w:val="004713D7"/>
    <w:rsid w:val="0047749F"/>
    <w:rsid w:val="00477F55"/>
    <w:rsid w:val="004825AB"/>
    <w:rsid w:val="00482CD1"/>
    <w:rsid w:val="004848F4"/>
    <w:rsid w:val="00484DC4"/>
    <w:rsid w:val="00487EBD"/>
    <w:rsid w:val="00493AA1"/>
    <w:rsid w:val="0049682A"/>
    <w:rsid w:val="004974E6"/>
    <w:rsid w:val="004A7700"/>
    <w:rsid w:val="004B3140"/>
    <w:rsid w:val="004B5252"/>
    <w:rsid w:val="004C18E3"/>
    <w:rsid w:val="004C19A1"/>
    <w:rsid w:val="004C5F11"/>
    <w:rsid w:val="004C740D"/>
    <w:rsid w:val="004C7F8F"/>
    <w:rsid w:val="004D72F0"/>
    <w:rsid w:val="004D73B4"/>
    <w:rsid w:val="004D79C9"/>
    <w:rsid w:val="004E0009"/>
    <w:rsid w:val="004E2525"/>
    <w:rsid w:val="004E438A"/>
    <w:rsid w:val="004E70B7"/>
    <w:rsid w:val="004F562D"/>
    <w:rsid w:val="004F5D68"/>
    <w:rsid w:val="0050269D"/>
    <w:rsid w:val="005066BA"/>
    <w:rsid w:val="00507A24"/>
    <w:rsid w:val="00507F45"/>
    <w:rsid w:val="00511124"/>
    <w:rsid w:val="005125BC"/>
    <w:rsid w:val="00513102"/>
    <w:rsid w:val="00517DB3"/>
    <w:rsid w:val="00523086"/>
    <w:rsid w:val="005234FF"/>
    <w:rsid w:val="00525392"/>
    <w:rsid w:val="00525AB5"/>
    <w:rsid w:val="005315FD"/>
    <w:rsid w:val="00532E92"/>
    <w:rsid w:val="00533FC9"/>
    <w:rsid w:val="00535B02"/>
    <w:rsid w:val="00537488"/>
    <w:rsid w:val="00537E1D"/>
    <w:rsid w:val="00546A3E"/>
    <w:rsid w:val="005506B7"/>
    <w:rsid w:val="0055150E"/>
    <w:rsid w:val="00553982"/>
    <w:rsid w:val="00554295"/>
    <w:rsid w:val="005637C0"/>
    <w:rsid w:val="00563E64"/>
    <w:rsid w:val="00564DDA"/>
    <w:rsid w:val="00566B0C"/>
    <w:rsid w:val="00567092"/>
    <w:rsid w:val="005703DE"/>
    <w:rsid w:val="00572664"/>
    <w:rsid w:val="00576EF8"/>
    <w:rsid w:val="005802FC"/>
    <w:rsid w:val="00582946"/>
    <w:rsid w:val="0058681A"/>
    <w:rsid w:val="00590D5D"/>
    <w:rsid w:val="00592FE9"/>
    <w:rsid w:val="0059412F"/>
    <w:rsid w:val="00594E51"/>
    <w:rsid w:val="005B6C9C"/>
    <w:rsid w:val="005B6D45"/>
    <w:rsid w:val="005C0F26"/>
    <w:rsid w:val="005C456A"/>
    <w:rsid w:val="005C752E"/>
    <w:rsid w:val="005D1027"/>
    <w:rsid w:val="005D1D6E"/>
    <w:rsid w:val="005D5E1F"/>
    <w:rsid w:val="005E13E2"/>
    <w:rsid w:val="005E1F7C"/>
    <w:rsid w:val="005E2A7C"/>
    <w:rsid w:val="005E3DA5"/>
    <w:rsid w:val="005E5C8C"/>
    <w:rsid w:val="005E6846"/>
    <w:rsid w:val="005F01C6"/>
    <w:rsid w:val="005F0BBA"/>
    <w:rsid w:val="005F15C9"/>
    <w:rsid w:val="005F1D43"/>
    <w:rsid w:val="005F3766"/>
    <w:rsid w:val="005F45F7"/>
    <w:rsid w:val="005F4AC0"/>
    <w:rsid w:val="005F72A0"/>
    <w:rsid w:val="00600AA7"/>
    <w:rsid w:val="006036FE"/>
    <w:rsid w:val="0060769A"/>
    <w:rsid w:val="00607C65"/>
    <w:rsid w:val="00610ABF"/>
    <w:rsid w:val="00616D6C"/>
    <w:rsid w:val="00622BBA"/>
    <w:rsid w:val="0062570D"/>
    <w:rsid w:val="00625F38"/>
    <w:rsid w:val="006261E3"/>
    <w:rsid w:val="00630293"/>
    <w:rsid w:val="006339B0"/>
    <w:rsid w:val="006344A7"/>
    <w:rsid w:val="0063572A"/>
    <w:rsid w:val="00635E0A"/>
    <w:rsid w:val="006379DE"/>
    <w:rsid w:val="00641090"/>
    <w:rsid w:val="006458A6"/>
    <w:rsid w:val="00647EAE"/>
    <w:rsid w:val="00651E2F"/>
    <w:rsid w:val="00655C56"/>
    <w:rsid w:val="00656DEB"/>
    <w:rsid w:val="0065725F"/>
    <w:rsid w:val="00661241"/>
    <w:rsid w:val="00661399"/>
    <w:rsid w:val="0066335F"/>
    <w:rsid w:val="00664F0A"/>
    <w:rsid w:val="00665B5C"/>
    <w:rsid w:val="00667AE8"/>
    <w:rsid w:val="00667B8E"/>
    <w:rsid w:val="0067190C"/>
    <w:rsid w:val="006764AC"/>
    <w:rsid w:val="006803E8"/>
    <w:rsid w:val="006814D1"/>
    <w:rsid w:val="00683DEC"/>
    <w:rsid w:val="00685366"/>
    <w:rsid w:val="00685630"/>
    <w:rsid w:val="006865EB"/>
    <w:rsid w:val="006873A4"/>
    <w:rsid w:val="006918FA"/>
    <w:rsid w:val="00694844"/>
    <w:rsid w:val="00696508"/>
    <w:rsid w:val="006A078E"/>
    <w:rsid w:val="006A1E97"/>
    <w:rsid w:val="006A1EDE"/>
    <w:rsid w:val="006A2988"/>
    <w:rsid w:val="006A2D90"/>
    <w:rsid w:val="006A7160"/>
    <w:rsid w:val="006B0B94"/>
    <w:rsid w:val="006B0FF5"/>
    <w:rsid w:val="006B27B1"/>
    <w:rsid w:val="006B4F4B"/>
    <w:rsid w:val="006B7056"/>
    <w:rsid w:val="006B7988"/>
    <w:rsid w:val="006C08BD"/>
    <w:rsid w:val="006C41BE"/>
    <w:rsid w:val="006C69E1"/>
    <w:rsid w:val="006C6F38"/>
    <w:rsid w:val="006D205C"/>
    <w:rsid w:val="006D5A34"/>
    <w:rsid w:val="006D6AB8"/>
    <w:rsid w:val="006E03CC"/>
    <w:rsid w:val="006E2492"/>
    <w:rsid w:val="006F12DE"/>
    <w:rsid w:val="006F4348"/>
    <w:rsid w:val="007002D8"/>
    <w:rsid w:val="00702A87"/>
    <w:rsid w:val="0071128B"/>
    <w:rsid w:val="007120E7"/>
    <w:rsid w:val="007158C2"/>
    <w:rsid w:val="00715AFE"/>
    <w:rsid w:val="00715DDC"/>
    <w:rsid w:val="007175A9"/>
    <w:rsid w:val="0072076A"/>
    <w:rsid w:val="00720C74"/>
    <w:rsid w:val="007230B0"/>
    <w:rsid w:val="00724F73"/>
    <w:rsid w:val="007262E9"/>
    <w:rsid w:val="0072653A"/>
    <w:rsid w:val="00726D12"/>
    <w:rsid w:val="00730784"/>
    <w:rsid w:val="00730A43"/>
    <w:rsid w:val="00745412"/>
    <w:rsid w:val="00761D7A"/>
    <w:rsid w:val="0077248B"/>
    <w:rsid w:val="007763F3"/>
    <w:rsid w:val="00777A00"/>
    <w:rsid w:val="00777B03"/>
    <w:rsid w:val="00777CD8"/>
    <w:rsid w:val="00782311"/>
    <w:rsid w:val="00782846"/>
    <w:rsid w:val="00782FA5"/>
    <w:rsid w:val="00783109"/>
    <w:rsid w:val="007837D9"/>
    <w:rsid w:val="00784C65"/>
    <w:rsid w:val="00786395"/>
    <w:rsid w:val="00791F17"/>
    <w:rsid w:val="007965E9"/>
    <w:rsid w:val="007977D4"/>
    <w:rsid w:val="007A31BF"/>
    <w:rsid w:val="007A47A3"/>
    <w:rsid w:val="007B07D2"/>
    <w:rsid w:val="007B133F"/>
    <w:rsid w:val="007B48AC"/>
    <w:rsid w:val="007B5B8A"/>
    <w:rsid w:val="007B5D35"/>
    <w:rsid w:val="007C0389"/>
    <w:rsid w:val="007C50DA"/>
    <w:rsid w:val="007D4C24"/>
    <w:rsid w:val="007D65F5"/>
    <w:rsid w:val="007E0CC2"/>
    <w:rsid w:val="007E2EFE"/>
    <w:rsid w:val="007E3CA1"/>
    <w:rsid w:val="007E6197"/>
    <w:rsid w:val="007E6D11"/>
    <w:rsid w:val="007E6D42"/>
    <w:rsid w:val="007F00E9"/>
    <w:rsid w:val="007F05D8"/>
    <w:rsid w:val="007F15CB"/>
    <w:rsid w:val="007F6E81"/>
    <w:rsid w:val="00800745"/>
    <w:rsid w:val="00802300"/>
    <w:rsid w:val="008027B1"/>
    <w:rsid w:val="00802952"/>
    <w:rsid w:val="0080364D"/>
    <w:rsid w:val="0080689E"/>
    <w:rsid w:val="00811030"/>
    <w:rsid w:val="00811C7B"/>
    <w:rsid w:val="00813B9B"/>
    <w:rsid w:val="008157FC"/>
    <w:rsid w:val="00815BD3"/>
    <w:rsid w:val="00823F2C"/>
    <w:rsid w:val="00825D2D"/>
    <w:rsid w:val="008264FE"/>
    <w:rsid w:val="00831FDA"/>
    <w:rsid w:val="0083235F"/>
    <w:rsid w:val="008352B0"/>
    <w:rsid w:val="0083585D"/>
    <w:rsid w:val="00837AFE"/>
    <w:rsid w:val="00844663"/>
    <w:rsid w:val="0084506F"/>
    <w:rsid w:val="00845604"/>
    <w:rsid w:val="00856A93"/>
    <w:rsid w:val="00863AB8"/>
    <w:rsid w:val="00870765"/>
    <w:rsid w:val="008714E4"/>
    <w:rsid w:val="00872D76"/>
    <w:rsid w:val="008755E4"/>
    <w:rsid w:val="00875A35"/>
    <w:rsid w:val="0087648B"/>
    <w:rsid w:val="00881521"/>
    <w:rsid w:val="0088210C"/>
    <w:rsid w:val="00882492"/>
    <w:rsid w:val="00886ADB"/>
    <w:rsid w:val="00890F2F"/>
    <w:rsid w:val="008915BA"/>
    <w:rsid w:val="0089318E"/>
    <w:rsid w:val="008A0497"/>
    <w:rsid w:val="008A12E5"/>
    <w:rsid w:val="008A7EE1"/>
    <w:rsid w:val="008B1D1A"/>
    <w:rsid w:val="008B2292"/>
    <w:rsid w:val="008B64FD"/>
    <w:rsid w:val="008B6E4A"/>
    <w:rsid w:val="008C772F"/>
    <w:rsid w:val="008D5CC3"/>
    <w:rsid w:val="008E0483"/>
    <w:rsid w:val="008E2762"/>
    <w:rsid w:val="008E2AF2"/>
    <w:rsid w:val="008E38C0"/>
    <w:rsid w:val="008E449F"/>
    <w:rsid w:val="008E4B69"/>
    <w:rsid w:val="008E6783"/>
    <w:rsid w:val="008F0451"/>
    <w:rsid w:val="008F1A50"/>
    <w:rsid w:val="008F34C9"/>
    <w:rsid w:val="008F3EDF"/>
    <w:rsid w:val="008F4BA4"/>
    <w:rsid w:val="00903834"/>
    <w:rsid w:val="00903E25"/>
    <w:rsid w:val="00903F01"/>
    <w:rsid w:val="0090519F"/>
    <w:rsid w:val="00910203"/>
    <w:rsid w:val="00910CB4"/>
    <w:rsid w:val="00917A0A"/>
    <w:rsid w:val="00917DB3"/>
    <w:rsid w:val="009211E0"/>
    <w:rsid w:val="00923855"/>
    <w:rsid w:val="00923A52"/>
    <w:rsid w:val="0092411C"/>
    <w:rsid w:val="00924450"/>
    <w:rsid w:val="00930AE0"/>
    <w:rsid w:val="00932732"/>
    <w:rsid w:val="00937617"/>
    <w:rsid w:val="00937948"/>
    <w:rsid w:val="00940E5E"/>
    <w:rsid w:val="00940E93"/>
    <w:rsid w:val="009434BA"/>
    <w:rsid w:val="009441F9"/>
    <w:rsid w:val="009475D6"/>
    <w:rsid w:val="00950A5F"/>
    <w:rsid w:val="00950DE6"/>
    <w:rsid w:val="009574F9"/>
    <w:rsid w:val="00957D22"/>
    <w:rsid w:val="0096429B"/>
    <w:rsid w:val="00964A59"/>
    <w:rsid w:val="0096569A"/>
    <w:rsid w:val="00967C28"/>
    <w:rsid w:val="009722A2"/>
    <w:rsid w:val="009733D3"/>
    <w:rsid w:val="0097407B"/>
    <w:rsid w:val="0097444D"/>
    <w:rsid w:val="00974B4F"/>
    <w:rsid w:val="00975452"/>
    <w:rsid w:val="00975999"/>
    <w:rsid w:val="009770DC"/>
    <w:rsid w:val="0098507E"/>
    <w:rsid w:val="00985A6E"/>
    <w:rsid w:val="00986811"/>
    <w:rsid w:val="00987812"/>
    <w:rsid w:val="009909E0"/>
    <w:rsid w:val="009909E6"/>
    <w:rsid w:val="00997043"/>
    <w:rsid w:val="009A0EF5"/>
    <w:rsid w:val="009A11E0"/>
    <w:rsid w:val="009A2E0C"/>
    <w:rsid w:val="009A4C56"/>
    <w:rsid w:val="009A6422"/>
    <w:rsid w:val="009B2D10"/>
    <w:rsid w:val="009B44A6"/>
    <w:rsid w:val="009B4C5F"/>
    <w:rsid w:val="009B7E61"/>
    <w:rsid w:val="009C0B66"/>
    <w:rsid w:val="009C792C"/>
    <w:rsid w:val="009D0BA7"/>
    <w:rsid w:val="009D17F7"/>
    <w:rsid w:val="009D1CC2"/>
    <w:rsid w:val="009D240F"/>
    <w:rsid w:val="009D552F"/>
    <w:rsid w:val="009E2D66"/>
    <w:rsid w:val="009E52B0"/>
    <w:rsid w:val="009E6687"/>
    <w:rsid w:val="009E6771"/>
    <w:rsid w:val="009E747B"/>
    <w:rsid w:val="009F13B9"/>
    <w:rsid w:val="009F6E69"/>
    <w:rsid w:val="00A00DBE"/>
    <w:rsid w:val="00A02FB8"/>
    <w:rsid w:val="00A044F0"/>
    <w:rsid w:val="00A05B27"/>
    <w:rsid w:val="00A10F4F"/>
    <w:rsid w:val="00A121C5"/>
    <w:rsid w:val="00A16BD4"/>
    <w:rsid w:val="00A1703B"/>
    <w:rsid w:val="00A20363"/>
    <w:rsid w:val="00A220D5"/>
    <w:rsid w:val="00A268E2"/>
    <w:rsid w:val="00A32CF1"/>
    <w:rsid w:val="00A3313E"/>
    <w:rsid w:val="00A356E1"/>
    <w:rsid w:val="00A368E4"/>
    <w:rsid w:val="00A36933"/>
    <w:rsid w:val="00A466B5"/>
    <w:rsid w:val="00A46EF7"/>
    <w:rsid w:val="00A52304"/>
    <w:rsid w:val="00A5430A"/>
    <w:rsid w:val="00A55B15"/>
    <w:rsid w:val="00A55BD1"/>
    <w:rsid w:val="00A55CDB"/>
    <w:rsid w:val="00A61902"/>
    <w:rsid w:val="00A62DCF"/>
    <w:rsid w:val="00A6413C"/>
    <w:rsid w:val="00A653CE"/>
    <w:rsid w:val="00A65FFE"/>
    <w:rsid w:val="00A662A7"/>
    <w:rsid w:val="00A67327"/>
    <w:rsid w:val="00A724C5"/>
    <w:rsid w:val="00A72DD1"/>
    <w:rsid w:val="00A76114"/>
    <w:rsid w:val="00A76B98"/>
    <w:rsid w:val="00A801A8"/>
    <w:rsid w:val="00A82BF0"/>
    <w:rsid w:val="00A92FF8"/>
    <w:rsid w:val="00A95800"/>
    <w:rsid w:val="00A97800"/>
    <w:rsid w:val="00A97A4E"/>
    <w:rsid w:val="00AA52FA"/>
    <w:rsid w:val="00AA6757"/>
    <w:rsid w:val="00AA6766"/>
    <w:rsid w:val="00AA7022"/>
    <w:rsid w:val="00AB0622"/>
    <w:rsid w:val="00AB2DD6"/>
    <w:rsid w:val="00AB46B9"/>
    <w:rsid w:val="00AB64D9"/>
    <w:rsid w:val="00AB76FB"/>
    <w:rsid w:val="00AB782B"/>
    <w:rsid w:val="00AC5D31"/>
    <w:rsid w:val="00AD1398"/>
    <w:rsid w:val="00AD1A3F"/>
    <w:rsid w:val="00AD21A6"/>
    <w:rsid w:val="00AD2FDF"/>
    <w:rsid w:val="00AD3873"/>
    <w:rsid w:val="00AD412F"/>
    <w:rsid w:val="00AD6D74"/>
    <w:rsid w:val="00AE0434"/>
    <w:rsid w:val="00AE7B7A"/>
    <w:rsid w:val="00AF1396"/>
    <w:rsid w:val="00AF1F3A"/>
    <w:rsid w:val="00AF2BE5"/>
    <w:rsid w:val="00AF35C2"/>
    <w:rsid w:val="00AF6904"/>
    <w:rsid w:val="00B01AEE"/>
    <w:rsid w:val="00B0247D"/>
    <w:rsid w:val="00B02A29"/>
    <w:rsid w:val="00B03F84"/>
    <w:rsid w:val="00B05CEB"/>
    <w:rsid w:val="00B06498"/>
    <w:rsid w:val="00B07992"/>
    <w:rsid w:val="00B10050"/>
    <w:rsid w:val="00B10943"/>
    <w:rsid w:val="00B10A15"/>
    <w:rsid w:val="00B11884"/>
    <w:rsid w:val="00B13AEF"/>
    <w:rsid w:val="00B1491A"/>
    <w:rsid w:val="00B1640F"/>
    <w:rsid w:val="00B16CC5"/>
    <w:rsid w:val="00B1790B"/>
    <w:rsid w:val="00B247E3"/>
    <w:rsid w:val="00B26EB8"/>
    <w:rsid w:val="00B35280"/>
    <w:rsid w:val="00B42FFA"/>
    <w:rsid w:val="00B450F5"/>
    <w:rsid w:val="00B47A7F"/>
    <w:rsid w:val="00B50206"/>
    <w:rsid w:val="00B515C4"/>
    <w:rsid w:val="00B530AE"/>
    <w:rsid w:val="00B5549B"/>
    <w:rsid w:val="00B6704D"/>
    <w:rsid w:val="00B67F08"/>
    <w:rsid w:val="00B74BD3"/>
    <w:rsid w:val="00B7682B"/>
    <w:rsid w:val="00B81176"/>
    <w:rsid w:val="00B818A0"/>
    <w:rsid w:val="00B82C49"/>
    <w:rsid w:val="00B842D9"/>
    <w:rsid w:val="00B865B9"/>
    <w:rsid w:val="00B87F2F"/>
    <w:rsid w:val="00B912DE"/>
    <w:rsid w:val="00B959D5"/>
    <w:rsid w:val="00B95C02"/>
    <w:rsid w:val="00B96A98"/>
    <w:rsid w:val="00BA0417"/>
    <w:rsid w:val="00BA0487"/>
    <w:rsid w:val="00BA0669"/>
    <w:rsid w:val="00BA1158"/>
    <w:rsid w:val="00BA5C10"/>
    <w:rsid w:val="00BA7736"/>
    <w:rsid w:val="00BB55D2"/>
    <w:rsid w:val="00BB5B3E"/>
    <w:rsid w:val="00BB5C26"/>
    <w:rsid w:val="00BC07BE"/>
    <w:rsid w:val="00BC5FD3"/>
    <w:rsid w:val="00BC78FF"/>
    <w:rsid w:val="00BD0350"/>
    <w:rsid w:val="00BD099D"/>
    <w:rsid w:val="00BE02B0"/>
    <w:rsid w:val="00BE10DC"/>
    <w:rsid w:val="00BE1824"/>
    <w:rsid w:val="00BE3129"/>
    <w:rsid w:val="00BE44FD"/>
    <w:rsid w:val="00BE7E62"/>
    <w:rsid w:val="00BF0346"/>
    <w:rsid w:val="00BF0443"/>
    <w:rsid w:val="00BF5A89"/>
    <w:rsid w:val="00C02D20"/>
    <w:rsid w:val="00C03D9C"/>
    <w:rsid w:val="00C0678A"/>
    <w:rsid w:val="00C202AC"/>
    <w:rsid w:val="00C2269F"/>
    <w:rsid w:val="00C2339F"/>
    <w:rsid w:val="00C249BA"/>
    <w:rsid w:val="00C25031"/>
    <w:rsid w:val="00C26213"/>
    <w:rsid w:val="00C2674A"/>
    <w:rsid w:val="00C267C0"/>
    <w:rsid w:val="00C30BE9"/>
    <w:rsid w:val="00C353A0"/>
    <w:rsid w:val="00C35FFE"/>
    <w:rsid w:val="00C41A6D"/>
    <w:rsid w:val="00C41E4C"/>
    <w:rsid w:val="00C42125"/>
    <w:rsid w:val="00C440C0"/>
    <w:rsid w:val="00C47830"/>
    <w:rsid w:val="00C528C7"/>
    <w:rsid w:val="00C53CCD"/>
    <w:rsid w:val="00C57A9C"/>
    <w:rsid w:val="00C605D2"/>
    <w:rsid w:val="00C61229"/>
    <w:rsid w:val="00C6234C"/>
    <w:rsid w:val="00C646DC"/>
    <w:rsid w:val="00C67784"/>
    <w:rsid w:val="00C74BEC"/>
    <w:rsid w:val="00C804AA"/>
    <w:rsid w:val="00C82EDC"/>
    <w:rsid w:val="00C83615"/>
    <w:rsid w:val="00C917D7"/>
    <w:rsid w:val="00C924EB"/>
    <w:rsid w:val="00C9337A"/>
    <w:rsid w:val="00C9546C"/>
    <w:rsid w:val="00C96ED8"/>
    <w:rsid w:val="00C9783F"/>
    <w:rsid w:val="00CA0216"/>
    <w:rsid w:val="00CA3026"/>
    <w:rsid w:val="00CA31FC"/>
    <w:rsid w:val="00CB2DDB"/>
    <w:rsid w:val="00CB2F6B"/>
    <w:rsid w:val="00CB57F9"/>
    <w:rsid w:val="00CB7C50"/>
    <w:rsid w:val="00CB7EFA"/>
    <w:rsid w:val="00CC784B"/>
    <w:rsid w:val="00CC7A61"/>
    <w:rsid w:val="00CC7FC8"/>
    <w:rsid w:val="00CD21DA"/>
    <w:rsid w:val="00CD29C7"/>
    <w:rsid w:val="00CD6E76"/>
    <w:rsid w:val="00CD76DA"/>
    <w:rsid w:val="00CE2AE5"/>
    <w:rsid w:val="00CE2DD9"/>
    <w:rsid w:val="00CE49E9"/>
    <w:rsid w:val="00CE68AA"/>
    <w:rsid w:val="00CE6CDA"/>
    <w:rsid w:val="00CE7A19"/>
    <w:rsid w:val="00CF25D3"/>
    <w:rsid w:val="00CF3CD6"/>
    <w:rsid w:val="00CF4AF3"/>
    <w:rsid w:val="00CF7830"/>
    <w:rsid w:val="00CF7988"/>
    <w:rsid w:val="00D02BF6"/>
    <w:rsid w:val="00D03F17"/>
    <w:rsid w:val="00D157A2"/>
    <w:rsid w:val="00D176F7"/>
    <w:rsid w:val="00D26B74"/>
    <w:rsid w:val="00D304C3"/>
    <w:rsid w:val="00D30AB3"/>
    <w:rsid w:val="00D3255D"/>
    <w:rsid w:val="00D35860"/>
    <w:rsid w:val="00D414E6"/>
    <w:rsid w:val="00D42E2C"/>
    <w:rsid w:val="00D4329A"/>
    <w:rsid w:val="00D44C73"/>
    <w:rsid w:val="00D45A05"/>
    <w:rsid w:val="00D464A2"/>
    <w:rsid w:val="00D4702B"/>
    <w:rsid w:val="00D5516E"/>
    <w:rsid w:val="00D57636"/>
    <w:rsid w:val="00D60310"/>
    <w:rsid w:val="00D612F6"/>
    <w:rsid w:val="00D73B56"/>
    <w:rsid w:val="00D74694"/>
    <w:rsid w:val="00D76E3A"/>
    <w:rsid w:val="00D806E8"/>
    <w:rsid w:val="00D83CE5"/>
    <w:rsid w:val="00D8529F"/>
    <w:rsid w:val="00D916B5"/>
    <w:rsid w:val="00D93486"/>
    <w:rsid w:val="00D96C5E"/>
    <w:rsid w:val="00D96E3C"/>
    <w:rsid w:val="00DA640E"/>
    <w:rsid w:val="00DB5720"/>
    <w:rsid w:val="00DB5C11"/>
    <w:rsid w:val="00DB6771"/>
    <w:rsid w:val="00DC00B6"/>
    <w:rsid w:val="00DC3775"/>
    <w:rsid w:val="00DC47FC"/>
    <w:rsid w:val="00DC5930"/>
    <w:rsid w:val="00DC6202"/>
    <w:rsid w:val="00DC77FA"/>
    <w:rsid w:val="00DD5CC0"/>
    <w:rsid w:val="00DD5EFA"/>
    <w:rsid w:val="00DD6F28"/>
    <w:rsid w:val="00DE2456"/>
    <w:rsid w:val="00DE3152"/>
    <w:rsid w:val="00DE4A3A"/>
    <w:rsid w:val="00DE5D43"/>
    <w:rsid w:val="00DF3BB0"/>
    <w:rsid w:val="00E03E65"/>
    <w:rsid w:val="00E04AD0"/>
    <w:rsid w:val="00E05A26"/>
    <w:rsid w:val="00E065DA"/>
    <w:rsid w:val="00E1624B"/>
    <w:rsid w:val="00E17074"/>
    <w:rsid w:val="00E2257C"/>
    <w:rsid w:val="00E239EF"/>
    <w:rsid w:val="00E24961"/>
    <w:rsid w:val="00E30D4B"/>
    <w:rsid w:val="00E40A64"/>
    <w:rsid w:val="00E429BD"/>
    <w:rsid w:val="00E46DC8"/>
    <w:rsid w:val="00E4702E"/>
    <w:rsid w:val="00E471A6"/>
    <w:rsid w:val="00E5289B"/>
    <w:rsid w:val="00E52FB6"/>
    <w:rsid w:val="00E54656"/>
    <w:rsid w:val="00E5696F"/>
    <w:rsid w:val="00E615E0"/>
    <w:rsid w:val="00E65EFC"/>
    <w:rsid w:val="00E6693C"/>
    <w:rsid w:val="00E67EA4"/>
    <w:rsid w:val="00E7040E"/>
    <w:rsid w:val="00E704A5"/>
    <w:rsid w:val="00E72B5C"/>
    <w:rsid w:val="00E73D00"/>
    <w:rsid w:val="00E77236"/>
    <w:rsid w:val="00E81E44"/>
    <w:rsid w:val="00E846E6"/>
    <w:rsid w:val="00E90ABF"/>
    <w:rsid w:val="00E95FB6"/>
    <w:rsid w:val="00EA0745"/>
    <w:rsid w:val="00EA07ED"/>
    <w:rsid w:val="00EA3B92"/>
    <w:rsid w:val="00EA3CA4"/>
    <w:rsid w:val="00EA3F5A"/>
    <w:rsid w:val="00EB00F3"/>
    <w:rsid w:val="00EB1356"/>
    <w:rsid w:val="00EB396D"/>
    <w:rsid w:val="00EB3A07"/>
    <w:rsid w:val="00EB61AA"/>
    <w:rsid w:val="00EB68A0"/>
    <w:rsid w:val="00EB7683"/>
    <w:rsid w:val="00EC5486"/>
    <w:rsid w:val="00ED0A8E"/>
    <w:rsid w:val="00ED1E36"/>
    <w:rsid w:val="00ED5A88"/>
    <w:rsid w:val="00EE03F0"/>
    <w:rsid w:val="00EE28FF"/>
    <w:rsid w:val="00EE5C1C"/>
    <w:rsid w:val="00EF16B4"/>
    <w:rsid w:val="00EF1E06"/>
    <w:rsid w:val="00EF513F"/>
    <w:rsid w:val="00F00879"/>
    <w:rsid w:val="00F01F48"/>
    <w:rsid w:val="00F02170"/>
    <w:rsid w:val="00F10D46"/>
    <w:rsid w:val="00F1284A"/>
    <w:rsid w:val="00F12EB9"/>
    <w:rsid w:val="00F145DC"/>
    <w:rsid w:val="00F16584"/>
    <w:rsid w:val="00F165AA"/>
    <w:rsid w:val="00F217CD"/>
    <w:rsid w:val="00F245EC"/>
    <w:rsid w:val="00F25651"/>
    <w:rsid w:val="00F27F63"/>
    <w:rsid w:val="00F31BA0"/>
    <w:rsid w:val="00F358B6"/>
    <w:rsid w:val="00F428B6"/>
    <w:rsid w:val="00F42D55"/>
    <w:rsid w:val="00F45244"/>
    <w:rsid w:val="00F460E0"/>
    <w:rsid w:val="00F4635B"/>
    <w:rsid w:val="00F50246"/>
    <w:rsid w:val="00F503AA"/>
    <w:rsid w:val="00F540E8"/>
    <w:rsid w:val="00F544B2"/>
    <w:rsid w:val="00F54E78"/>
    <w:rsid w:val="00F56469"/>
    <w:rsid w:val="00F56665"/>
    <w:rsid w:val="00F6170B"/>
    <w:rsid w:val="00F660BE"/>
    <w:rsid w:val="00F66390"/>
    <w:rsid w:val="00F668BE"/>
    <w:rsid w:val="00F66D56"/>
    <w:rsid w:val="00F71E69"/>
    <w:rsid w:val="00F72161"/>
    <w:rsid w:val="00F76083"/>
    <w:rsid w:val="00F76FBA"/>
    <w:rsid w:val="00F86362"/>
    <w:rsid w:val="00F87641"/>
    <w:rsid w:val="00F9219C"/>
    <w:rsid w:val="00F94176"/>
    <w:rsid w:val="00F941F3"/>
    <w:rsid w:val="00F94BE2"/>
    <w:rsid w:val="00F953E3"/>
    <w:rsid w:val="00F9541B"/>
    <w:rsid w:val="00FA4511"/>
    <w:rsid w:val="00FA5E74"/>
    <w:rsid w:val="00FA7273"/>
    <w:rsid w:val="00FB0077"/>
    <w:rsid w:val="00FB30D1"/>
    <w:rsid w:val="00FB6920"/>
    <w:rsid w:val="00FC0435"/>
    <w:rsid w:val="00FC1487"/>
    <w:rsid w:val="00FC27DA"/>
    <w:rsid w:val="00FC4C6D"/>
    <w:rsid w:val="00FC4F70"/>
    <w:rsid w:val="00FC53C2"/>
    <w:rsid w:val="00FD0D05"/>
    <w:rsid w:val="00FD1030"/>
    <w:rsid w:val="00FD383C"/>
    <w:rsid w:val="00FD6F67"/>
    <w:rsid w:val="00FE18B4"/>
    <w:rsid w:val="00FE1A2C"/>
    <w:rsid w:val="00FE3BF8"/>
    <w:rsid w:val="00FF3D55"/>
    <w:rsid w:val="00FF450E"/>
    <w:rsid w:val="00FF4705"/>
    <w:rsid w:val="00FF54A6"/>
    <w:rsid w:val="00FF5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6B797"/>
  <w15:docId w15:val="{D86CB859-9B78-47C4-9F12-282C1A9F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5A9"/>
    <w:pPr>
      <w:widowControl w:val="0"/>
      <w:jc w:val="both"/>
    </w:pPr>
    <w:rPr>
      <w:rFonts w:ascii="Times New Roman" w:eastAsia="宋体" w:hAnsi="Times New Roman" w:cs="Times New Roman"/>
      <w:szCs w:val="20"/>
    </w:rPr>
  </w:style>
  <w:style w:type="paragraph" w:styleId="5">
    <w:name w:val="heading 5"/>
    <w:basedOn w:val="a"/>
    <w:next w:val="a"/>
    <w:link w:val="50"/>
    <w:semiHidden/>
    <w:unhideWhenUsed/>
    <w:qFormat/>
    <w:rsid w:val="009B2D1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7273"/>
    <w:rPr>
      <w:rFonts w:ascii="Times New Roman" w:eastAsia="宋体" w:hAnsi="Times New Roman" w:cs="Times New Roman"/>
      <w:sz w:val="18"/>
      <w:szCs w:val="18"/>
    </w:rPr>
  </w:style>
  <w:style w:type="paragraph" w:styleId="a5">
    <w:name w:val="footer"/>
    <w:basedOn w:val="a"/>
    <w:link w:val="a6"/>
    <w:uiPriority w:val="99"/>
    <w:unhideWhenUsed/>
    <w:rsid w:val="00FA7273"/>
    <w:pPr>
      <w:tabs>
        <w:tab w:val="center" w:pos="4153"/>
        <w:tab w:val="right" w:pos="8306"/>
      </w:tabs>
      <w:snapToGrid w:val="0"/>
      <w:jc w:val="left"/>
    </w:pPr>
    <w:rPr>
      <w:sz w:val="18"/>
      <w:szCs w:val="18"/>
    </w:rPr>
  </w:style>
  <w:style w:type="character" w:customStyle="1" w:styleId="a6">
    <w:name w:val="页脚 字符"/>
    <w:basedOn w:val="a0"/>
    <w:link w:val="a5"/>
    <w:uiPriority w:val="99"/>
    <w:rsid w:val="00FA7273"/>
    <w:rPr>
      <w:rFonts w:ascii="Times New Roman" w:eastAsia="宋体" w:hAnsi="Times New Roman" w:cs="Times New Roman"/>
      <w:sz w:val="18"/>
      <w:szCs w:val="18"/>
    </w:rPr>
  </w:style>
  <w:style w:type="table" w:styleId="a7">
    <w:name w:val="Table Grid"/>
    <w:basedOn w:val="a1"/>
    <w:uiPriority w:val="59"/>
    <w:rsid w:val="0041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721D"/>
    <w:rPr>
      <w:sz w:val="18"/>
      <w:szCs w:val="18"/>
    </w:rPr>
  </w:style>
  <w:style w:type="character" w:customStyle="1" w:styleId="a9">
    <w:name w:val="批注框文本 字符"/>
    <w:basedOn w:val="a0"/>
    <w:link w:val="a8"/>
    <w:uiPriority w:val="99"/>
    <w:semiHidden/>
    <w:rsid w:val="002D721D"/>
    <w:rPr>
      <w:rFonts w:ascii="Times New Roman" w:eastAsia="宋体" w:hAnsi="Times New Roman" w:cs="Times New Roman"/>
      <w:sz w:val="18"/>
      <w:szCs w:val="18"/>
    </w:rPr>
  </w:style>
  <w:style w:type="character" w:styleId="aa">
    <w:name w:val="annotation reference"/>
    <w:basedOn w:val="a0"/>
    <w:uiPriority w:val="99"/>
    <w:unhideWhenUsed/>
    <w:rsid w:val="00E6693C"/>
    <w:rPr>
      <w:sz w:val="21"/>
      <w:szCs w:val="21"/>
    </w:rPr>
  </w:style>
  <w:style w:type="paragraph" w:styleId="ab">
    <w:name w:val="annotation text"/>
    <w:basedOn w:val="a"/>
    <w:link w:val="1"/>
    <w:uiPriority w:val="99"/>
    <w:unhideWhenUsed/>
    <w:rsid w:val="00E6693C"/>
    <w:pPr>
      <w:jc w:val="left"/>
    </w:pPr>
  </w:style>
  <w:style w:type="character" w:customStyle="1" w:styleId="1">
    <w:name w:val="批注文字 字符1"/>
    <w:basedOn w:val="a0"/>
    <w:link w:val="ab"/>
    <w:uiPriority w:val="99"/>
    <w:rsid w:val="00E6693C"/>
    <w:rPr>
      <w:rFonts w:ascii="Times New Roman" w:eastAsia="宋体" w:hAnsi="Times New Roman" w:cs="Times New Roman"/>
      <w:szCs w:val="20"/>
    </w:rPr>
  </w:style>
  <w:style w:type="paragraph" w:styleId="ac">
    <w:name w:val="annotation subject"/>
    <w:basedOn w:val="ab"/>
    <w:next w:val="ab"/>
    <w:link w:val="10"/>
    <w:uiPriority w:val="99"/>
    <w:unhideWhenUsed/>
    <w:rsid w:val="00E6693C"/>
    <w:rPr>
      <w:b/>
      <w:bCs/>
    </w:rPr>
  </w:style>
  <w:style w:type="character" w:customStyle="1" w:styleId="10">
    <w:name w:val="批注主题 字符1"/>
    <w:basedOn w:val="1"/>
    <w:link w:val="ac"/>
    <w:uiPriority w:val="99"/>
    <w:semiHidden/>
    <w:rsid w:val="00E6693C"/>
    <w:rPr>
      <w:rFonts w:ascii="Times New Roman" w:eastAsia="宋体" w:hAnsi="Times New Roman" w:cs="Times New Roman"/>
      <w:b/>
      <w:bCs/>
      <w:szCs w:val="20"/>
    </w:rPr>
  </w:style>
  <w:style w:type="paragraph" w:styleId="ad">
    <w:name w:val="List Paragraph"/>
    <w:basedOn w:val="a"/>
    <w:uiPriority w:val="34"/>
    <w:qFormat/>
    <w:rsid w:val="002E303B"/>
    <w:pPr>
      <w:ind w:firstLineChars="200" w:firstLine="420"/>
    </w:pPr>
  </w:style>
  <w:style w:type="character" w:styleId="ae">
    <w:name w:val="Hyperlink"/>
    <w:basedOn w:val="a0"/>
    <w:uiPriority w:val="99"/>
    <w:unhideWhenUsed/>
    <w:rsid w:val="007175A9"/>
    <w:rPr>
      <w:color w:val="0000FF" w:themeColor="hyperlink"/>
      <w:u w:val="single"/>
    </w:rPr>
  </w:style>
  <w:style w:type="paragraph" w:styleId="af">
    <w:name w:val="Date"/>
    <w:basedOn w:val="a"/>
    <w:next w:val="a"/>
    <w:link w:val="af0"/>
    <w:uiPriority w:val="99"/>
    <w:semiHidden/>
    <w:unhideWhenUsed/>
    <w:rsid w:val="00625F38"/>
    <w:pPr>
      <w:ind w:leftChars="2500" w:left="100"/>
    </w:pPr>
  </w:style>
  <w:style w:type="character" w:customStyle="1" w:styleId="af0">
    <w:name w:val="日期 字符"/>
    <w:basedOn w:val="a0"/>
    <w:link w:val="af"/>
    <w:uiPriority w:val="99"/>
    <w:semiHidden/>
    <w:rsid w:val="00625F38"/>
    <w:rPr>
      <w:rFonts w:ascii="Times New Roman" w:eastAsia="宋体" w:hAnsi="Times New Roman" w:cs="Times New Roman"/>
      <w:szCs w:val="20"/>
    </w:rPr>
  </w:style>
  <w:style w:type="character" w:customStyle="1" w:styleId="Char1">
    <w:name w:val="批注文字 Char1"/>
    <w:uiPriority w:val="99"/>
    <w:semiHidden/>
    <w:rsid w:val="00BE02B0"/>
    <w:rPr>
      <w:rFonts w:ascii="等线" w:eastAsia="等线" w:hAnsi="等线" w:cs="Times New Roman"/>
    </w:rPr>
  </w:style>
  <w:style w:type="character" w:customStyle="1" w:styleId="af1">
    <w:name w:val="批注主题 字符"/>
    <w:uiPriority w:val="99"/>
    <w:semiHidden/>
    <w:rsid w:val="00D304C3"/>
    <w:rPr>
      <w:rFonts w:ascii="等线" w:eastAsia="等线" w:hAnsi="等线" w:cs="Times New Roman"/>
      <w:b/>
      <w:bCs/>
    </w:rPr>
  </w:style>
  <w:style w:type="character" w:customStyle="1" w:styleId="af2">
    <w:name w:val="批注文字 字符"/>
    <w:uiPriority w:val="99"/>
    <w:semiHidden/>
    <w:rsid w:val="00D304C3"/>
    <w:rPr>
      <w:rFonts w:ascii="等线" w:eastAsia="等线" w:hAnsi="等线" w:cs="Times New Roman"/>
    </w:rPr>
  </w:style>
  <w:style w:type="character" w:customStyle="1" w:styleId="50">
    <w:name w:val="标题 5 字符"/>
    <w:basedOn w:val="a0"/>
    <w:link w:val="5"/>
    <w:semiHidden/>
    <w:rsid w:val="009B2D10"/>
    <w:rPr>
      <w:rFonts w:ascii="Times New Roman" w:eastAsia="宋体" w:hAnsi="Times New Roman" w:cs="Times New Roman"/>
      <w:b/>
      <w:bCs/>
      <w:sz w:val="28"/>
      <w:szCs w:val="28"/>
    </w:rPr>
  </w:style>
  <w:style w:type="paragraph" w:customStyle="1" w:styleId="af3">
    <w:name w:val="招股书正文"/>
    <w:basedOn w:val="a"/>
    <w:link w:val="Char"/>
    <w:qFormat/>
    <w:rsid w:val="009B2D10"/>
    <w:pPr>
      <w:spacing w:beforeLines="50" w:afterLines="50" w:line="360" w:lineRule="auto"/>
      <w:ind w:firstLineChars="200" w:firstLine="200"/>
    </w:pPr>
    <w:rPr>
      <w:sz w:val="24"/>
      <w:szCs w:val="21"/>
    </w:rPr>
  </w:style>
  <w:style w:type="character" w:customStyle="1" w:styleId="Char">
    <w:name w:val="招股书正文 Char"/>
    <w:link w:val="af3"/>
    <w:rsid w:val="009B2D10"/>
    <w:rPr>
      <w:rFonts w:ascii="Times New Roman" w:eastAsia="宋体" w:hAnsi="Times New Roman" w:cs="Times New Roman"/>
      <w:sz w:val="24"/>
      <w:szCs w:val="21"/>
    </w:rPr>
  </w:style>
  <w:style w:type="paragraph" w:customStyle="1" w:styleId="af4">
    <w:name w:val="补充披露"/>
    <w:basedOn w:val="a"/>
    <w:link w:val="Char0"/>
    <w:qFormat/>
    <w:rsid w:val="009B2D10"/>
    <w:pPr>
      <w:spacing w:beforeLines="50" w:afterLines="50" w:line="360" w:lineRule="auto"/>
      <w:ind w:firstLineChars="200" w:firstLine="482"/>
    </w:pPr>
    <w:rPr>
      <w:rFonts w:ascii="楷体_GB2312" w:eastAsia="楷体_GB2312"/>
      <w:b/>
      <w:sz w:val="24"/>
      <w:szCs w:val="22"/>
    </w:rPr>
  </w:style>
  <w:style w:type="character" w:customStyle="1" w:styleId="Char0">
    <w:name w:val="补充披露 Char"/>
    <w:link w:val="af4"/>
    <w:rsid w:val="009B2D10"/>
    <w:rPr>
      <w:rFonts w:ascii="楷体_GB2312" w:eastAsia="楷体_GB2312" w:hAnsi="Times New Roman" w:cs="Times New Roman"/>
      <w:b/>
      <w:sz w:val="24"/>
    </w:rPr>
  </w:style>
  <w:style w:type="character" w:styleId="af5">
    <w:name w:val="Emphasis"/>
    <w:basedOn w:val="a0"/>
    <w:uiPriority w:val="20"/>
    <w:qFormat/>
    <w:rsid w:val="00A52304"/>
    <w:rPr>
      <w:i/>
      <w:iCs/>
    </w:rPr>
  </w:style>
  <w:style w:type="paragraph" w:customStyle="1" w:styleId="11">
    <w:name w:val="列出段落1"/>
    <w:basedOn w:val="a"/>
    <w:rsid w:val="0047749F"/>
    <w:pPr>
      <w:ind w:firstLineChars="200" w:firstLine="420"/>
    </w:pPr>
    <w:rPr>
      <w:rFonts w:ascii="Calibri" w:hAnsi="Calibri"/>
      <w:szCs w:val="22"/>
    </w:rPr>
  </w:style>
  <w:style w:type="paragraph" w:styleId="af6">
    <w:name w:val="Document Map"/>
    <w:basedOn w:val="a"/>
    <w:link w:val="af7"/>
    <w:uiPriority w:val="99"/>
    <w:semiHidden/>
    <w:unhideWhenUsed/>
    <w:rsid w:val="00517DB3"/>
    <w:rPr>
      <w:rFonts w:ascii="宋体"/>
      <w:sz w:val="18"/>
      <w:szCs w:val="18"/>
    </w:rPr>
  </w:style>
  <w:style w:type="character" w:customStyle="1" w:styleId="af7">
    <w:name w:val="文档结构图 字符"/>
    <w:basedOn w:val="a0"/>
    <w:link w:val="af6"/>
    <w:uiPriority w:val="99"/>
    <w:semiHidden/>
    <w:rsid w:val="00517DB3"/>
    <w:rPr>
      <w:rFonts w:ascii="宋体" w:eastAsia="宋体" w:hAnsi="Times New Roman" w:cs="Times New Roman"/>
      <w:sz w:val="18"/>
      <w:szCs w:val="18"/>
    </w:rPr>
  </w:style>
  <w:style w:type="paragraph" w:styleId="af8">
    <w:name w:val="Revision"/>
    <w:hidden/>
    <w:uiPriority w:val="99"/>
    <w:semiHidden/>
    <w:rsid w:val="009211E0"/>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1226">
      <w:bodyDiv w:val="1"/>
      <w:marLeft w:val="0"/>
      <w:marRight w:val="0"/>
      <w:marTop w:val="0"/>
      <w:marBottom w:val="0"/>
      <w:divBdr>
        <w:top w:val="none" w:sz="0" w:space="0" w:color="auto"/>
        <w:left w:val="none" w:sz="0" w:space="0" w:color="auto"/>
        <w:bottom w:val="none" w:sz="0" w:space="0" w:color="auto"/>
        <w:right w:val="none" w:sz="0" w:space="0" w:color="auto"/>
      </w:divBdr>
    </w:div>
    <w:div w:id="53282914">
      <w:bodyDiv w:val="1"/>
      <w:marLeft w:val="0"/>
      <w:marRight w:val="0"/>
      <w:marTop w:val="0"/>
      <w:marBottom w:val="0"/>
      <w:divBdr>
        <w:top w:val="none" w:sz="0" w:space="0" w:color="auto"/>
        <w:left w:val="none" w:sz="0" w:space="0" w:color="auto"/>
        <w:bottom w:val="none" w:sz="0" w:space="0" w:color="auto"/>
        <w:right w:val="none" w:sz="0" w:space="0" w:color="auto"/>
      </w:divBdr>
    </w:div>
    <w:div w:id="213079675">
      <w:bodyDiv w:val="1"/>
      <w:marLeft w:val="0"/>
      <w:marRight w:val="0"/>
      <w:marTop w:val="0"/>
      <w:marBottom w:val="0"/>
      <w:divBdr>
        <w:top w:val="none" w:sz="0" w:space="0" w:color="auto"/>
        <w:left w:val="none" w:sz="0" w:space="0" w:color="auto"/>
        <w:bottom w:val="none" w:sz="0" w:space="0" w:color="auto"/>
        <w:right w:val="none" w:sz="0" w:space="0" w:color="auto"/>
      </w:divBdr>
    </w:div>
    <w:div w:id="330256702">
      <w:bodyDiv w:val="1"/>
      <w:marLeft w:val="0"/>
      <w:marRight w:val="0"/>
      <w:marTop w:val="0"/>
      <w:marBottom w:val="0"/>
      <w:divBdr>
        <w:top w:val="none" w:sz="0" w:space="0" w:color="auto"/>
        <w:left w:val="none" w:sz="0" w:space="0" w:color="auto"/>
        <w:bottom w:val="none" w:sz="0" w:space="0" w:color="auto"/>
        <w:right w:val="none" w:sz="0" w:space="0" w:color="auto"/>
      </w:divBdr>
    </w:div>
    <w:div w:id="350113285">
      <w:bodyDiv w:val="1"/>
      <w:marLeft w:val="0"/>
      <w:marRight w:val="0"/>
      <w:marTop w:val="0"/>
      <w:marBottom w:val="0"/>
      <w:divBdr>
        <w:top w:val="none" w:sz="0" w:space="0" w:color="auto"/>
        <w:left w:val="none" w:sz="0" w:space="0" w:color="auto"/>
        <w:bottom w:val="none" w:sz="0" w:space="0" w:color="auto"/>
        <w:right w:val="none" w:sz="0" w:space="0" w:color="auto"/>
      </w:divBdr>
      <w:divsChild>
        <w:div w:id="1416631708">
          <w:marLeft w:val="0"/>
          <w:marRight w:val="0"/>
          <w:marTop w:val="0"/>
          <w:marBottom w:val="0"/>
          <w:divBdr>
            <w:top w:val="none" w:sz="0" w:space="0" w:color="auto"/>
            <w:left w:val="none" w:sz="0" w:space="0" w:color="auto"/>
            <w:bottom w:val="none" w:sz="0" w:space="0" w:color="auto"/>
            <w:right w:val="none" w:sz="0" w:space="0" w:color="auto"/>
          </w:divBdr>
          <w:divsChild>
            <w:div w:id="679963928">
              <w:marLeft w:val="0"/>
              <w:marRight w:val="0"/>
              <w:marTop w:val="0"/>
              <w:marBottom w:val="0"/>
              <w:divBdr>
                <w:top w:val="none" w:sz="0" w:space="0" w:color="auto"/>
                <w:left w:val="none" w:sz="0" w:space="0" w:color="auto"/>
                <w:bottom w:val="none" w:sz="0" w:space="0" w:color="auto"/>
                <w:right w:val="none" w:sz="0" w:space="0" w:color="auto"/>
              </w:divBdr>
              <w:divsChild>
                <w:div w:id="1086614059">
                  <w:marLeft w:val="0"/>
                  <w:marRight w:val="0"/>
                  <w:marTop w:val="0"/>
                  <w:marBottom w:val="0"/>
                  <w:divBdr>
                    <w:top w:val="none" w:sz="0" w:space="0" w:color="auto"/>
                    <w:left w:val="none" w:sz="0" w:space="0" w:color="auto"/>
                    <w:bottom w:val="none" w:sz="0" w:space="0" w:color="auto"/>
                    <w:right w:val="none" w:sz="0" w:space="0" w:color="auto"/>
                  </w:divBdr>
                  <w:divsChild>
                    <w:div w:id="1500924631">
                      <w:marLeft w:val="0"/>
                      <w:marRight w:val="0"/>
                      <w:marTop w:val="0"/>
                      <w:marBottom w:val="0"/>
                      <w:divBdr>
                        <w:top w:val="none" w:sz="0" w:space="0" w:color="auto"/>
                        <w:left w:val="none" w:sz="0" w:space="0" w:color="auto"/>
                        <w:bottom w:val="none" w:sz="0" w:space="0" w:color="auto"/>
                        <w:right w:val="none" w:sz="0" w:space="0" w:color="auto"/>
                      </w:divBdr>
                      <w:divsChild>
                        <w:div w:id="225578255">
                          <w:marLeft w:val="0"/>
                          <w:marRight w:val="0"/>
                          <w:marTop w:val="75"/>
                          <w:marBottom w:val="75"/>
                          <w:divBdr>
                            <w:top w:val="none" w:sz="0" w:space="0" w:color="auto"/>
                            <w:left w:val="none" w:sz="0" w:space="0" w:color="auto"/>
                            <w:bottom w:val="single" w:sz="12" w:space="0" w:color="8D8D8D"/>
                            <w:right w:val="none" w:sz="0" w:space="0" w:color="auto"/>
                          </w:divBdr>
                          <w:divsChild>
                            <w:div w:id="625359319">
                              <w:marLeft w:val="0"/>
                              <w:marRight w:val="0"/>
                              <w:marTop w:val="0"/>
                              <w:marBottom w:val="0"/>
                              <w:divBdr>
                                <w:top w:val="none" w:sz="0" w:space="0" w:color="auto"/>
                                <w:left w:val="none" w:sz="0" w:space="0" w:color="auto"/>
                                <w:bottom w:val="none" w:sz="0" w:space="0" w:color="auto"/>
                                <w:right w:val="none" w:sz="0" w:space="0" w:color="auto"/>
                              </w:divBdr>
                            </w:div>
                          </w:divsChild>
                        </w:div>
                        <w:div w:id="335767638">
                          <w:marLeft w:val="0"/>
                          <w:marRight w:val="0"/>
                          <w:marTop w:val="75"/>
                          <w:marBottom w:val="75"/>
                          <w:divBdr>
                            <w:top w:val="none" w:sz="0" w:space="0" w:color="auto"/>
                            <w:left w:val="none" w:sz="0" w:space="0" w:color="auto"/>
                            <w:bottom w:val="single" w:sz="12" w:space="0" w:color="8D8D8D"/>
                            <w:right w:val="none" w:sz="0" w:space="0" w:color="auto"/>
                          </w:divBdr>
                          <w:divsChild>
                            <w:div w:id="14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7338">
      <w:bodyDiv w:val="1"/>
      <w:marLeft w:val="0"/>
      <w:marRight w:val="0"/>
      <w:marTop w:val="0"/>
      <w:marBottom w:val="0"/>
      <w:divBdr>
        <w:top w:val="none" w:sz="0" w:space="0" w:color="auto"/>
        <w:left w:val="none" w:sz="0" w:space="0" w:color="auto"/>
        <w:bottom w:val="none" w:sz="0" w:space="0" w:color="auto"/>
        <w:right w:val="none" w:sz="0" w:space="0" w:color="auto"/>
      </w:divBdr>
      <w:divsChild>
        <w:div w:id="1240213584">
          <w:marLeft w:val="0"/>
          <w:marRight w:val="0"/>
          <w:marTop w:val="0"/>
          <w:marBottom w:val="0"/>
          <w:divBdr>
            <w:top w:val="none" w:sz="0" w:space="0" w:color="auto"/>
            <w:left w:val="none" w:sz="0" w:space="0" w:color="auto"/>
            <w:bottom w:val="none" w:sz="0" w:space="0" w:color="auto"/>
            <w:right w:val="none" w:sz="0" w:space="0" w:color="auto"/>
          </w:divBdr>
          <w:divsChild>
            <w:div w:id="1137408330">
              <w:marLeft w:val="0"/>
              <w:marRight w:val="0"/>
              <w:marTop w:val="0"/>
              <w:marBottom w:val="0"/>
              <w:divBdr>
                <w:top w:val="none" w:sz="0" w:space="0" w:color="auto"/>
                <w:left w:val="none" w:sz="0" w:space="0" w:color="auto"/>
                <w:bottom w:val="none" w:sz="0" w:space="0" w:color="auto"/>
                <w:right w:val="none" w:sz="0" w:space="0" w:color="auto"/>
              </w:divBdr>
              <w:divsChild>
                <w:div w:id="927422992">
                  <w:marLeft w:val="0"/>
                  <w:marRight w:val="0"/>
                  <w:marTop w:val="0"/>
                  <w:marBottom w:val="0"/>
                  <w:divBdr>
                    <w:top w:val="none" w:sz="0" w:space="0" w:color="auto"/>
                    <w:left w:val="none" w:sz="0" w:space="0" w:color="auto"/>
                    <w:bottom w:val="none" w:sz="0" w:space="0" w:color="auto"/>
                    <w:right w:val="none" w:sz="0" w:space="0" w:color="auto"/>
                  </w:divBdr>
                  <w:divsChild>
                    <w:div w:id="1605914718">
                      <w:marLeft w:val="0"/>
                      <w:marRight w:val="0"/>
                      <w:marTop w:val="0"/>
                      <w:marBottom w:val="0"/>
                      <w:divBdr>
                        <w:top w:val="none" w:sz="0" w:space="0" w:color="auto"/>
                        <w:left w:val="none" w:sz="0" w:space="0" w:color="auto"/>
                        <w:bottom w:val="none" w:sz="0" w:space="0" w:color="auto"/>
                        <w:right w:val="none" w:sz="0" w:space="0" w:color="auto"/>
                      </w:divBdr>
                      <w:divsChild>
                        <w:div w:id="222909281">
                          <w:marLeft w:val="0"/>
                          <w:marRight w:val="0"/>
                          <w:marTop w:val="75"/>
                          <w:marBottom w:val="75"/>
                          <w:divBdr>
                            <w:top w:val="none" w:sz="0" w:space="0" w:color="auto"/>
                            <w:left w:val="none" w:sz="0" w:space="0" w:color="auto"/>
                            <w:bottom w:val="single" w:sz="12" w:space="0" w:color="8D8D8D"/>
                            <w:right w:val="none" w:sz="0" w:space="0" w:color="auto"/>
                          </w:divBdr>
                          <w:divsChild>
                            <w:div w:id="723335486">
                              <w:marLeft w:val="0"/>
                              <w:marRight w:val="0"/>
                              <w:marTop w:val="0"/>
                              <w:marBottom w:val="0"/>
                              <w:divBdr>
                                <w:top w:val="none" w:sz="0" w:space="0" w:color="auto"/>
                                <w:left w:val="none" w:sz="0" w:space="0" w:color="auto"/>
                                <w:bottom w:val="none" w:sz="0" w:space="0" w:color="auto"/>
                                <w:right w:val="none" w:sz="0" w:space="0" w:color="auto"/>
                              </w:divBdr>
                            </w:div>
                          </w:divsChild>
                        </w:div>
                        <w:div w:id="1562403868">
                          <w:marLeft w:val="0"/>
                          <w:marRight w:val="0"/>
                          <w:marTop w:val="75"/>
                          <w:marBottom w:val="75"/>
                          <w:divBdr>
                            <w:top w:val="none" w:sz="0" w:space="0" w:color="auto"/>
                            <w:left w:val="none" w:sz="0" w:space="0" w:color="auto"/>
                            <w:bottom w:val="single" w:sz="12" w:space="0" w:color="8D8D8D"/>
                            <w:right w:val="none" w:sz="0" w:space="0" w:color="auto"/>
                          </w:divBdr>
                          <w:divsChild>
                            <w:div w:id="13857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19501">
      <w:bodyDiv w:val="1"/>
      <w:marLeft w:val="0"/>
      <w:marRight w:val="0"/>
      <w:marTop w:val="0"/>
      <w:marBottom w:val="0"/>
      <w:divBdr>
        <w:top w:val="none" w:sz="0" w:space="0" w:color="auto"/>
        <w:left w:val="none" w:sz="0" w:space="0" w:color="auto"/>
        <w:bottom w:val="none" w:sz="0" w:space="0" w:color="auto"/>
        <w:right w:val="none" w:sz="0" w:space="0" w:color="auto"/>
      </w:divBdr>
    </w:div>
    <w:div w:id="645626622">
      <w:bodyDiv w:val="1"/>
      <w:marLeft w:val="0"/>
      <w:marRight w:val="0"/>
      <w:marTop w:val="0"/>
      <w:marBottom w:val="0"/>
      <w:divBdr>
        <w:top w:val="none" w:sz="0" w:space="0" w:color="auto"/>
        <w:left w:val="none" w:sz="0" w:space="0" w:color="auto"/>
        <w:bottom w:val="none" w:sz="0" w:space="0" w:color="auto"/>
        <w:right w:val="none" w:sz="0" w:space="0" w:color="auto"/>
      </w:divBdr>
    </w:div>
    <w:div w:id="746079718">
      <w:bodyDiv w:val="1"/>
      <w:marLeft w:val="0"/>
      <w:marRight w:val="0"/>
      <w:marTop w:val="0"/>
      <w:marBottom w:val="0"/>
      <w:divBdr>
        <w:top w:val="none" w:sz="0" w:space="0" w:color="auto"/>
        <w:left w:val="none" w:sz="0" w:space="0" w:color="auto"/>
        <w:bottom w:val="none" w:sz="0" w:space="0" w:color="auto"/>
        <w:right w:val="none" w:sz="0" w:space="0" w:color="auto"/>
      </w:divBdr>
      <w:divsChild>
        <w:div w:id="921064422">
          <w:marLeft w:val="0"/>
          <w:marRight w:val="0"/>
          <w:marTop w:val="0"/>
          <w:marBottom w:val="0"/>
          <w:divBdr>
            <w:top w:val="none" w:sz="0" w:space="0" w:color="auto"/>
            <w:left w:val="none" w:sz="0" w:space="0" w:color="auto"/>
            <w:bottom w:val="none" w:sz="0" w:space="0" w:color="auto"/>
            <w:right w:val="none" w:sz="0" w:space="0" w:color="auto"/>
          </w:divBdr>
          <w:divsChild>
            <w:div w:id="1123773579">
              <w:marLeft w:val="0"/>
              <w:marRight w:val="0"/>
              <w:marTop w:val="0"/>
              <w:marBottom w:val="0"/>
              <w:divBdr>
                <w:top w:val="none" w:sz="0" w:space="0" w:color="auto"/>
                <w:left w:val="none" w:sz="0" w:space="0" w:color="auto"/>
                <w:bottom w:val="none" w:sz="0" w:space="0" w:color="auto"/>
                <w:right w:val="none" w:sz="0" w:space="0" w:color="auto"/>
              </w:divBdr>
              <w:divsChild>
                <w:div w:id="631793419">
                  <w:marLeft w:val="0"/>
                  <w:marRight w:val="0"/>
                  <w:marTop w:val="0"/>
                  <w:marBottom w:val="0"/>
                  <w:divBdr>
                    <w:top w:val="none" w:sz="0" w:space="0" w:color="auto"/>
                    <w:left w:val="none" w:sz="0" w:space="0" w:color="auto"/>
                    <w:bottom w:val="none" w:sz="0" w:space="0" w:color="auto"/>
                    <w:right w:val="none" w:sz="0" w:space="0" w:color="auto"/>
                  </w:divBdr>
                  <w:divsChild>
                    <w:div w:id="1985309708">
                      <w:marLeft w:val="0"/>
                      <w:marRight w:val="0"/>
                      <w:marTop w:val="0"/>
                      <w:marBottom w:val="0"/>
                      <w:divBdr>
                        <w:top w:val="none" w:sz="0" w:space="0" w:color="auto"/>
                        <w:left w:val="none" w:sz="0" w:space="0" w:color="auto"/>
                        <w:bottom w:val="none" w:sz="0" w:space="0" w:color="auto"/>
                        <w:right w:val="none" w:sz="0" w:space="0" w:color="auto"/>
                      </w:divBdr>
                      <w:divsChild>
                        <w:div w:id="587538437">
                          <w:marLeft w:val="0"/>
                          <w:marRight w:val="0"/>
                          <w:marTop w:val="75"/>
                          <w:marBottom w:val="75"/>
                          <w:divBdr>
                            <w:top w:val="none" w:sz="0" w:space="0" w:color="auto"/>
                            <w:left w:val="none" w:sz="0" w:space="0" w:color="auto"/>
                            <w:bottom w:val="single" w:sz="12" w:space="0" w:color="8D8D8D"/>
                            <w:right w:val="none" w:sz="0" w:space="0" w:color="auto"/>
                          </w:divBdr>
                          <w:divsChild>
                            <w:div w:id="355931098">
                              <w:marLeft w:val="0"/>
                              <w:marRight w:val="0"/>
                              <w:marTop w:val="0"/>
                              <w:marBottom w:val="0"/>
                              <w:divBdr>
                                <w:top w:val="none" w:sz="0" w:space="0" w:color="auto"/>
                                <w:left w:val="none" w:sz="0" w:space="0" w:color="auto"/>
                                <w:bottom w:val="none" w:sz="0" w:space="0" w:color="auto"/>
                                <w:right w:val="none" w:sz="0" w:space="0" w:color="auto"/>
                              </w:divBdr>
                            </w:div>
                          </w:divsChild>
                        </w:div>
                        <w:div w:id="874317168">
                          <w:marLeft w:val="0"/>
                          <w:marRight w:val="0"/>
                          <w:marTop w:val="75"/>
                          <w:marBottom w:val="75"/>
                          <w:divBdr>
                            <w:top w:val="none" w:sz="0" w:space="0" w:color="auto"/>
                            <w:left w:val="none" w:sz="0" w:space="0" w:color="auto"/>
                            <w:bottom w:val="single" w:sz="12" w:space="0" w:color="8D8D8D"/>
                            <w:right w:val="none" w:sz="0" w:space="0" w:color="auto"/>
                          </w:divBdr>
                          <w:divsChild>
                            <w:div w:id="2407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844">
      <w:bodyDiv w:val="1"/>
      <w:marLeft w:val="0"/>
      <w:marRight w:val="0"/>
      <w:marTop w:val="0"/>
      <w:marBottom w:val="0"/>
      <w:divBdr>
        <w:top w:val="none" w:sz="0" w:space="0" w:color="auto"/>
        <w:left w:val="none" w:sz="0" w:space="0" w:color="auto"/>
        <w:bottom w:val="none" w:sz="0" w:space="0" w:color="auto"/>
        <w:right w:val="none" w:sz="0" w:space="0" w:color="auto"/>
      </w:divBdr>
    </w:div>
    <w:div w:id="1148478130">
      <w:bodyDiv w:val="1"/>
      <w:marLeft w:val="0"/>
      <w:marRight w:val="0"/>
      <w:marTop w:val="0"/>
      <w:marBottom w:val="0"/>
      <w:divBdr>
        <w:top w:val="none" w:sz="0" w:space="0" w:color="auto"/>
        <w:left w:val="none" w:sz="0" w:space="0" w:color="auto"/>
        <w:bottom w:val="none" w:sz="0" w:space="0" w:color="auto"/>
        <w:right w:val="none" w:sz="0" w:space="0" w:color="auto"/>
      </w:divBdr>
    </w:div>
    <w:div w:id="20916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7EC3-4CDD-46E4-A001-39AB4DA9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1055</Words>
  <Characters>6016</Characters>
  <Application>Microsoft Office Word</Application>
  <DocSecurity>0</DocSecurity>
  <Lines>50</Lines>
  <Paragraphs>14</Paragraphs>
  <ScaleCrop>false</ScaleCrop>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ren zhang</cp:lastModifiedBy>
  <cp:revision>38</cp:revision>
  <cp:lastPrinted>2017-01-13T05:32:00Z</cp:lastPrinted>
  <dcterms:created xsi:type="dcterms:W3CDTF">2019-05-29T08:19:00Z</dcterms:created>
  <dcterms:modified xsi:type="dcterms:W3CDTF">2019-05-31T10:16:00Z</dcterms:modified>
</cp:coreProperties>
</file>